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rPr>
          <w:b/>
          <w:bCs/>
        </w:rPr>
        <w:t xml:space="preserve">TOMA DE CONTROL DE VICIDIAL POR IA</w:t>
      </w:r>
    </w:p>
    <w:p>
      <w:pPr>
        <w:pStyle w:val="BodyText"/>
      </w:pPr>
      <w:r>
        <w:rPr>
          <w:b/>
          <w:bCs/>
        </w:rPr>
        <w:t xml:space="preserve">El blueprint completo</w:t>
      </w:r>
    </w:p>
    <w:p>
      <w:pPr>
        <w:pStyle w:val="BodyText"/>
      </w:pPr>
      <w:r>
        <w:rPr>
          <w:i/>
          <w:iCs/>
        </w:rPr>
        <w:t xml:space="preserve">De 100% humano a 90% IA en 3 meses</w:t>
      </w:r>
    </w:p>
    <w:p>
      <w:pPr>
        <w:pStyle w:val="BodyText"/>
      </w:pPr>
      <w:r>
        <w:rPr>
          <w:b/>
          <w:bCs/>
        </w:rPr>
        <w:t xml:space="preserve">Un servidor. Una pila. Una misión.</w:t>
      </w:r>
    </w:p>
    <w:p>
      <w:pPr>
        <w:pStyle w:val="BodyText"/>
      </w:pPr>
      <w:r>
        <w:t xml:space="preserve">0,4 céntimos/minuto IA vs. 40 céntimos/minuto humano = factor 100</w:t>
      </w:r>
    </w:p>
    <w:bookmarkStart w:id="20" w:name="la-visión"/>
    <w:p>
      <w:pPr>
        <w:pStyle w:val="Heading1"/>
      </w:pPr>
      <w:r>
        <w:rPr>
          <w:b/>
          <w:bCs/>
        </w:rPr>
        <w:t xml:space="preserve">1. La visión</w:t>
      </w:r>
    </w:p>
    <w:p>
      <w:pPr>
        <w:pStyle w:val="FirstParagraph"/>
      </w:pPr>
      <w:r>
        <w:t xml:space="preserve">Cada centro de llamadas del mundo opera hoy el mismo modelo ineficiente: personas sentadas en filas, respondiendo las mismas preguntas una y otra vez, cometiendo errores, enfermándose, renunciando. Los costos son enormes, la calidad inconsistente.</w:t>
      </w:r>
    </w:p>
    <w:p>
      <w:pPr>
        <w:pStyle w:val="BodyText"/>
      </w:pPr>
      <w:r>
        <w:t xml:space="preserve">Esta situación termina ahora.</w:t>
      </w:r>
    </w:p>
    <w:p>
      <w:pPr>
        <w:pStyle w:val="BodyText"/>
      </w:pPr>
      <w:r>
        <w:t xml:space="preserve">Con un solo servidor, software de código abierto y un sistema de codificación agente de IA, ViciDial —la plataforma de centros de llamadas de código abierto más utilizada en el mundo— se transformará en una unidad operativa autónoma de IA. No en 3 años. En 3 meses.</w:t>
      </w:r>
    </w:p>
    <w:p>
      <w:pPr>
        <w:pStyle w:val="BodyText"/>
      </w:pPr>
      <w:r>
        <w:t xml:space="preserve">La IA asume las llamadas, entiende a los clientes en tiempo real, habla de forma natural, resuelve problemas, documenta automáticamente y solo escala a los agentes humanos restantes (10%) en casos excepcionales reales. Este 10% no es un residuo —es la red de calidad para lo que la IA aún no puede hacer: casos éticos límite, escaladas altamente sensibles, decisiones estratégicas.</w:t>
      </w:r>
    </w:p>
    <w:bookmarkEnd w:id="20"/>
    <w:bookmarkStart w:id="21" w:name="por-qué-exactamente-ahora"/>
    <w:p>
      <w:pPr>
        <w:pStyle w:val="Heading1"/>
      </w:pPr>
      <w:r>
        <w:rPr>
          <w:b/>
          <w:bCs/>
        </w:rPr>
        <w:t xml:space="preserve">2. Por qué exactamente ahora</w:t>
      </w:r>
    </w:p>
    <w:p>
      <w:pPr>
        <w:pStyle w:val="FirstParagraph"/>
      </w:pPr>
      <w:r>
        <w:t xml:space="preserve">Tres tecnologías han alcanzado madurez para producción simultáneamente:</w:t>
      </w:r>
    </w:p>
    <w:p>
      <w:pPr>
        <w:pStyle w:val="Compact"/>
        <w:numPr>
          <w:ilvl w:val="0"/>
          <w:numId w:val="1001"/>
        </w:numPr>
      </w:pPr>
      <w:r>
        <w:t xml:space="preserve">IA de voz en tiempo real con latencia inferior a 500 ms — LiveKit como backbone WebRTC hace posible procesar flujos de audio con latencia extremo a extremo inferior a 300 ms. Las conversaciones suenan naturales.</w:t>
      </w:r>
    </w:p>
    <w:p>
      <w:pPr>
        <w:pStyle w:val="Compact"/>
        <w:numPr>
          <w:ilvl w:val="0"/>
          <w:numId w:val="1001"/>
        </w:numPr>
      </w:pPr>
      <w:r>
        <w:t xml:space="preserve">LLMs locales en hardware de consumo — Llama 3.3, Mistral, Qwen2.5 funcionan en un servidor chino con 2x RTX 4090 o H100. Sin dependencia de la nube, sin problemas de privacidad, sin costos recurrentes de API.</w:t>
      </w:r>
    </w:p>
    <w:p>
      <w:pPr>
        <w:pStyle w:val="Compact"/>
        <w:numPr>
          <w:ilvl w:val="0"/>
          <w:numId w:val="1001"/>
        </w:numPr>
      </w:pPr>
      <w:r>
        <w:t xml:space="preserve">IA de codificación agente — Claude Code, Cursor Agent o un agente de codificación local pueden escribir, probar, depurar y desplegar código de forma autónoma. El humano define la arquitectura, la IA construye.</w:t>
      </w:r>
    </w:p>
    <w:tbl>
      <w:tblPr>
        <w:tblStyle w:val="Table"/>
        <w:tblW w:type="pct" w:w="5000"/>
        <w:jc w:val="left"/>
        <w:tblLayout w:type="fixed"/>
        <w:tblLook w:firstRow="0" w:lastRow="0" w:firstColumn="0" w:lastColumn="0" w:noHBand="0" w:noVBand="0" w:val="0000"/>
      </w:tblPr>
      <w:tblGrid>
        <w:gridCol w:w="7920"/>
      </w:tblGrid>
      <w:tr>
        <w:tc>
          <w:tcPr/>
          <w:p>
            <w:pPr>
              <w:jc w:val="left"/>
            </w:pPr>
            <w:r>
              <w:rPr>
                <w:b/>
                <w:bCs/>
              </w:rPr>
              <w:t xml:space="preserve">Cálculo de costos</w:t>
            </w:r>
          </w:p>
          <w:p>
            <w:pPr>
              <w:jc w:val="left"/>
            </w:pPr>
            <w:r>
              <w:t xml:space="preserve">IA: 0,4 céntimos/minuto (STT + LLM + TTS local). Humano: 35–50 céntimos/minuto (salario mínimo + sobrecostos + ausencias + capacitación). Un centro de llamadas con 50 agentes a 7 h/día ahorra más de 10.000 EUR diarios. Mensualmente: 220.000 EUR. El hardware se amortiza en una semana.</w:t>
            </w:r>
          </w:p>
        </w:tc>
      </w:tr>
    </w:tbl>
    <w:bookmarkEnd w:id="21"/>
    <w:bookmarkStart w:id="22" w:name="el-servidor-todo-en-una-máquina"/>
    <w:p>
      <w:pPr>
        <w:pStyle w:val="Heading1"/>
      </w:pPr>
      <w:r>
        <w:rPr>
          <w:b/>
          <w:bCs/>
        </w:rPr>
        <w:t xml:space="preserve">3. El servidor — todo en una máquina</w:t>
      </w:r>
    </w:p>
    <w:p>
      <w:pPr>
        <w:pStyle w:val="FirstParagraph"/>
      </w:pPr>
      <w:r>
        <w:t xml:space="preserve">Todo el sistema funciona on-premise en un solo servidor. Sin suscripción a la nube, sin costos mensuales, control total de datos. Hardware recomendado para un centro de llamadas mediano (hasta 50 llamadas paralelas de IA):</w:t>
      </w:r>
    </w:p>
    <w:tbl>
      <w:tblPr>
        <w:tblStyle w:val="Table"/>
        <w:tblW w:type="auto" w:w="0"/>
        <w:jc w:val="left"/>
        <w:tblLook w:firstRow="1" w:lastRow="0" w:firstColumn="0" w:lastColumn="0" w:noHBand="0" w:noVBand="0" w:val="0020"/>
      </w:tblPr>
      <w:tblGrid>
        <w:gridCol w:w="1980"/>
        <w:gridCol w:w="1980"/>
        <w:gridCol w:w="1980"/>
        <w:gridCol w:w="1980"/>
      </w:tblGrid>
      <w:tr>
        <w:trPr>
          <w:tblHeader w:val="on"/>
        </w:trPr>
        <w:tc>
          <w:tcPr/>
          <w:p>
            <w:pPr>
              <w:jc w:val="left"/>
            </w:pPr>
            <w:r>
              <w:rPr>
                <w:b/>
                <w:bCs/>
              </w:rPr>
              <w:t xml:space="preserve">Componente</w:t>
            </w:r>
          </w:p>
        </w:tc>
        <w:tc>
          <w:tcPr/>
          <w:p>
            <w:pPr>
              <w:jc w:val="left"/>
            </w:pPr>
            <w:r>
              <w:rPr>
                <w:b/>
                <w:bCs/>
              </w:rPr>
              <w:t xml:space="preserve">Software</w:t>
            </w:r>
          </w:p>
        </w:tc>
        <w:tc>
          <w:tcPr/>
          <w:p>
            <w:pPr>
              <w:jc w:val="left"/>
            </w:pPr>
            <w:r>
              <w:rPr>
                <w:b/>
                <w:bCs/>
              </w:rPr>
              <w:t xml:space="preserve">Por qué</w:t>
            </w:r>
          </w:p>
        </w:tc>
        <w:tc>
          <w:tcPr/>
          <w:p>
            <w:pPr>
              <w:jc w:val="left"/>
            </w:pPr>
            <w:r>
              <w:rPr>
                <w:b/>
                <w:bCs/>
              </w:rPr>
              <w:t xml:space="preserve">Costo</w:t>
            </w:r>
          </w:p>
        </w:tc>
      </w:tr>
      <w:tr>
        <w:tc>
          <w:tcPr/>
          <w:p>
            <w:pPr>
              <w:jc w:val="left"/>
            </w:pPr>
            <w:r>
              <w:t xml:space="preserve">CPU</w:t>
            </w:r>
          </w:p>
        </w:tc>
        <w:tc>
          <w:tcPr/>
          <w:p>
            <w:pPr>
              <w:jc w:val="left"/>
            </w:pPr>
            <w:r>
              <w:t xml:space="preserve">AMD EPYC 7543 o Intel Xeon</w:t>
            </w:r>
          </w:p>
        </w:tc>
        <w:tc>
          <w:tcPr/>
          <w:p>
            <w:pPr>
              <w:jc w:val="left"/>
            </w:pPr>
            <w:r>
              <w:t xml:space="preserve">Multi-hilo para ASR + inferencia LLM</w:t>
            </w:r>
          </w:p>
        </w:tc>
        <w:tc>
          <w:tcPr/>
          <w:p>
            <w:pPr>
              <w:jc w:val="left"/>
            </w:pPr>
            <w:r>
              <w:t xml:space="preserve">~800 EUR (refurbished)</w:t>
            </w:r>
          </w:p>
        </w:tc>
      </w:tr>
      <w:tr>
        <w:tc>
          <w:tcPr/>
          <w:p>
            <w:pPr>
              <w:jc w:val="left"/>
            </w:pPr>
            <w:r>
              <w:t xml:space="preserve">GPU</w:t>
            </w:r>
          </w:p>
        </w:tc>
        <w:tc>
          <w:tcPr/>
          <w:p>
            <w:pPr>
              <w:jc w:val="left"/>
            </w:pPr>
            <w:r>
              <w:t xml:space="preserve">2x NVIDIA RTX 4090 o 1x H100</w:t>
            </w:r>
          </w:p>
        </w:tc>
        <w:tc>
          <w:tcPr/>
          <w:p>
            <w:pPr>
              <w:jc w:val="left"/>
            </w:pPr>
            <w:r>
              <w:t xml:space="preserve">LLM local (Llama 3.3 70B Q4)</w:t>
            </w:r>
          </w:p>
        </w:tc>
        <w:tc>
          <w:tcPr/>
          <w:p>
            <w:pPr>
              <w:jc w:val="left"/>
            </w:pPr>
            <w:r>
              <w:t xml:space="preserve">~2.000–8.000 EUR</w:t>
            </w:r>
          </w:p>
        </w:tc>
      </w:tr>
      <w:tr>
        <w:tc>
          <w:tcPr/>
          <w:p>
            <w:pPr>
              <w:jc w:val="left"/>
            </w:pPr>
            <w:r>
              <w:t xml:space="preserve">RAM</w:t>
            </w:r>
          </w:p>
        </w:tc>
        <w:tc>
          <w:tcPr/>
          <w:p>
            <w:pPr>
              <w:jc w:val="left"/>
            </w:pPr>
            <w:r>
              <w:t xml:space="preserve">256 GB DDR5 ECC</w:t>
            </w:r>
          </w:p>
        </w:tc>
        <w:tc>
          <w:tcPr/>
          <w:p>
            <w:pPr>
              <w:jc w:val="left"/>
            </w:pPr>
            <w:r>
              <w:t xml:space="preserve">Múltiples sesiones paralelas</w:t>
            </w:r>
          </w:p>
        </w:tc>
        <w:tc>
          <w:tcPr/>
          <w:p>
            <w:pPr>
              <w:jc w:val="left"/>
            </w:pPr>
            <w:r>
              <w:t xml:space="preserve">~600 EUR</w:t>
            </w:r>
          </w:p>
        </w:tc>
      </w:tr>
      <w:tr>
        <w:tc>
          <w:tcPr/>
          <w:p>
            <w:pPr>
              <w:jc w:val="left"/>
            </w:pPr>
            <w:r>
              <w:t xml:space="preserve">SSD</w:t>
            </w:r>
          </w:p>
        </w:tc>
        <w:tc>
          <w:tcPr/>
          <w:p>
            <w:pPr>
              <w:jc w:val="left"/>
            </w:pPr>
            <w:r>
              <w:t xml:space="preserve">2x 2TB NVMe RAID 1</w:t>
            </w:r>
          </w:p>
        </w:tc>
        <w:tc>
          <w:tcPr/>
          <w:p>
            <w:pPr>
              <w:jc w:val="left"/>
            </w:pPr>
            <w:r>
              <w:t xml:space="preserve">Modelos + base de datos + registros</w:t>
            </w:r>
          </w:p>
        </w:tc>
        <w:tc>
          <w:tcPr/>
          <w:p>
            <w:pPr>
              <w:jc w:val="left"/>
            </w:pPr>
            <w:r>
              <w:t xml:space="preserve">~300 EUR</w:t>
            </w:r>
          </w:p>
        </w:tc>
      </w:tr>
      <w:tr>
        <w:tc>
          <w:tcPr/>
          <w:p>
            <w:pPr>
              <w:jc w:val="left"/>
            </w:pPr>
            <w:r>
              <w:t xml:space="preserve">NIC</w:t>
            </w:r>
          </w:p>
        </w:tc>
        <w:tc>
          <w:tcPr/>
          <w:p>
            <w:pPr>
              <w:jc w:val="left"/>
            </w:pPr>
            <w:r>
              <w:t xml:space="preserve">Tarjeta de red 10 GbE</w:t>
            </w:r>
          </w:p>
        </w:tc>
        <w:tc>
          <w:tcPr/>
          <w:p>
            <w:pPr>
              <w:jc w:val="left"/>
            </w:pPr>
            <w:r>
              <w:t xml:space="preserve">Flujos de audio sin jitter</w:t>
            </w:r>
          </w:p>
        </w:tc>
        <w:tc>
          <w:tcPr/>
          <w:p>
            <w:pPr>
              <w:jc w:val="left"/>
            </w:pPr>
            <w:r>
              <w:t xml:space="preserve">~50 EUR</w:t>
            </w:r>
          </w:p>
        </w:tc>
      </w:tr>
      <w:tr>
        <w:tc>
          <w:tcPr/>
          <w:p>
            <w:pPr>
              <w:jc w:val="left"/>
            </w:pPr>
            <w:r>
              <w:t xml:space="preserve">SO</w:t>
            </w:r>
          </w:p>
        </w:tc>
        <w:tc>
          <w:tcPr/>
          <w:p>
            <w:pPr>
              <w:jc w:val="left"/>
            </w:pPr>
            <w:r>
              <w:t xml:space="preserve">Ubuntu Server 24.04 LTS</w:t>
            </w:r>
          </w:p>
        </w:tc>
        <w:tc>
          <w:tcPr/>
          <w:p>
            <w:pPr>
              <w:jc w:val="left"/>
            </w:pPr>
            <w:r>
              <w:t xml:space="preserve">Base estable, código abierto</w:t>
            </w:r>
          </w:p>
        </w:tc>
        <w:tc>
          <w:tcPr/>
          <w:p>
            <w:pPr>
              <w:jc w:val="left"/>
            </w:pPr>
            <w:r>
              <w:t xml:space="preserve">0 EUR</w:t>
            </w:r>
          </w:p>
        </w:tc>
      </w:tr>
    </w:tbl>
    <w:p>
      <w:pPr>
        <w:pStyle w:val="BodyText"/>
      </w:pPr>
      <w:r>
        <w:t xml:space="preserve">Costo total hardware: 3.750 EUR (variante presupuestaria) hasta 10.000 EUR (alto rendimiento). Un operador de centro de llamadas de tamaño medio gasta esta cantidad en media hora de costos laborales.</w:t>
      </w:r>
    </w:p>
    <w:bookmarkEnd w:id="22"/>
    <w:bookmarkStart w:id="23" w:name="la-pila-de-software"/>
    <w:p>
      <w:pPr>
        <w:pStyle w:val="Heading1"/>
      </w:pPr>
      <w:r>
        <w:rPr>
          <w:b/>
          <w:bCs/>
        </w:rPr>
        <w:t xml:space="preserve">4. La pila de software</w:t>
      </w:r>
    </w:p>
    <w:p>
      <w:pPr>
        <w:pStyle w:val="FirstParagraph"/>
      </w:pPr>
      <w:r>
        <w:t xml:space="preserve">Todos los componentes son de código abierto, operables localmente, listos para producción. Sin bloqueo de proveedor, sin costos de licencia.</w:t>
      </w:r>
    </w:p>
    <w:tbl>
      <w:tblPr>
        <w:tblStyle w:val="Table"/>
        <w:tblW w:type="auto" w:w="0"/>
        <w:jc w:val="left"/>
        <w:tblLook w:firstRow="1" w:lastRow="0" w:firstColumn="0" w:lastColumn="0" w:noHBand="0" w:noVBand="0" w:val="0020"/>
      </w:tblPr>
      <w:tblGrid>
        <w:gridCol w:w="1980"/>
        <w:gridCol w:w="1980"/>
        <w:gridCol w:w="1980"/>
        <w:gridCol w:w="1980"/>
      </w:tblGrid>
      <w:tr>
        <w:trPr>
          <w:tblHeader w:val="on"/>
        </w:trPr>
        <w:tc>
          <w:tcPr/>
          <w:p>
            <w:pPr>
              <w:jc w:val="left"/>
            </w:pPr>
            <w:r>
              <w:rPr>
                <w:b/>
                <w:bCs/>
              </w:rPr>
              <w:t xml:space="preserve">Componente</w:t>
            </w:r>
          </w:p>
        </w:tc>
        <w:tc>
          <w:tcPr/>
          <w:p>
            <w:pPr>
              <w:jc w:val="left"/>
            </w:pPr>
            <w:r>
              <w:rPr>
                <w:b/>
                <w:bCs/>
              </w:rPr>
              <w:t xml:space="preserve">Software</w:t>
            </w:r>
          </w:p>
        </w:tc>
        <w:tc>
          <w:tcPr/>
          <w:p>
            <w:pPr>
              <w:jc w:val="left"/>
            </w:pPr>
            <w:r>
              <w:rPr>
                <w:b/>
                <w:bCs/>
              </w:rPr>
              <w:t xml:space="preserve">Por qué</w:t>
            </w:r>
          </w:p>
        </w:tc>
        <w:tc>
          <w:tcPr/>
          <w:p>
            <w:pPr>
              <w:jc w:val="left"/>
            </w:pPr>
            <w:r>
              <w:rPr>
                <w:b/>
                <w:bCs/>
              </w:rPr>
              <w:t xml:space="preserve">Costo</w:t>
            </w:r>
          </w:p>
        </w:tc>
      </w:tr>
      <w:tr>
        <w:tc>
          <w:tcPr/>
          <w:p>
            <w:pPr>
              <w:jc w:val="left"/>
            </w:pPr>
            <w:r>
              <w:t xml:space="preserve">Núcleo de telefonía</w:t>
            </w:r>
          </w:p>
        </w:tc>
        <w:tc>
          <w:tcPr/>
          <w:p>
            <w:pPr>
              <w:jc w:val="left"/>
            </w:pPr>
            <w:r>
              <w:t xml:space="preserve">ViciDial + Asterisk</w:t>
            </w:r>
          </w:p>
        </w:tc>
        <w:tc>
          <w:tcPr/>
          <w:p>
            <w:pPr>
              <w:jc w:val="left"/>
            </w:pPr>
            <w:r>
              <w:t xml:space="preserve">Probado, comunidad enorme, API excelente</w:t>
            </w:r>
          </w:p>
        </w:tc>
        <w:tc>
          <w:tcPr/>
          <w:p>
            <w:pPr>
              <w:jc w:val="left"/>
            </w:pPr>
            <w:r>
              <w:t xml:space="preserve">0 EUR</w:t>
            </w:r>
          </w:p>
        </w:tc>
      </w:tr>
      <w:tr>
        <w:tc>
          <w:tcPr/>
          <w:p>
            <w:pPr>
              <w:jc w:val="left"/>
            </w:pPr>
            <w:r>
              <w:t xml:space="preserve">WebRTC/Audio</w:t>
            </w:r>
          </w:p>
        </w:tc>
        <w:tc>
          <w:tcPr/>
          <w:p>
            <w:pPr>
              <w:jc w:val="left"/>
            </w:pPr>
            <w:r>
              <w:t xml:space="preserve">Servidor LiveKit (autoalojado)</w:t>
            </w:r>
          </w:p>
        </w:tc>
        <w:tc>
          <w:tcPr/>
          <w:p>
            <w:pPr>
              <w:jc w:val="left"/>
            </w:pPr>
            <w:r>
              <w:t xml:space="preserve">Audio en tiempo real, latencia sub-300 ms</w:t>
            </w:r>
          </w:p>
        </w:tc>
        <w:tc>
          <w:tcPr/>
          <w:p>
            <w:pPr>
              <w:jc w:val="left"/>
            </w:pPr>
            <w:r>
              <w:t xml:space="preserve">0 EUR</w:t>
            </w:r>
          </w:p>
        </w:tc>
      </w:tr>
      <w:tr>
        <w:tc>
          <w:tcPr/>
          <w:p>
            <w:pPr>
              <w:jc w:val="left"/>
            </w:pPr>
            <w:r>
              <w:t xml:space="preserve">STT</w:t>
            </w:r>
          </w:p>
        </w:tc>
        <w:tc>
          <w:tcPr/>
          <w:p>
            <w:pPr>
              <w:jc w:val="left"/>
            </w:pPr>
            <w:r>
              <w:t xml:space="preserve">Whisper.cpp (CUDA)</w:t>
            </w:r>
          </w:p>
        </w:tc>
        <w:tc>
          <w:tcPr/>
          <w:p>
            <w:pPr>
              <w:jc w:val="left"/>
            </w:pPr>
            <w:r>
              <w:t xml:space="preserve">Local, rápido, multilingüe, conforme con RGPD</w:t>
            </w:r>
          </w:p>
        </w:tc>
        <w:tc>
          <w:tcPr/>
          <w:p>
            <w:pPr>
              <w:jc w:val="left"/>
            </w:pPr>
            <w:r>
              <w:t xml:space="preserve">0 EUR</w:t>
            </w:r>
          </w:p>
        </w:tc>
      </w:tr>
      <w:tr>
        <w:tc>
          <w:tcPr/>
          <w:p>
            <w:pPr>
              <w:jc w:val="left"/>
            </w:pPr>
            <w:r>
              <w:t xml:space="preserve">LLM</w:t>
            </w:r>
          </w:p>
        </w:tc>
        <w:tc>
          <w:tcPr/>
          <w:p>
            <w:pPr>
              <w:jc w:val="left"/>
            </w:pPr>
            <w:r>
              <w:t xml:space="preserve">Ollama + Llama 3.3 70B Q4</w:t>
            </w:r>
          </w:p>
        </w:tc>
        <w:tc>
          <w:tcPr/>
          <w:p>
            <w:pPr>
              <w:jc w:val="left"/>
            </w:pPr>
            <w:r>
              <w:t xml:space="preserve">Totalmente local, cuantizado en 4 bits</w:t>
            </w:r>
          </w:p>
        </w:tc>
        <w:tc>
          <w:tcPr/>
          <w:p>
            <w:pPr>
              <w:jc w:val="left"/>
            </w:pPr>
            <w:r>
              <w:t xml:space="preserve">0 EUR</w:t>
            </w:r>
          </w:p>
        </w:tc>
      </w:tr>
      <w:tr>
        <w:tc>
          <w:tcPr/>
          <w:p>
            <w:pPr>
              <w:jc w:val="left"/>
            </w:pPr>
            <w:r>
              <w:t xml:space="preserve">TTS</w:t>
            </w:r>
          </w:p>
        </w:tc>
        <w:tc>
          <w:tcPr/>
          <w:p>
            <w:pPr>
              <w:jc w:val="left"/>
            </w:pPr>
            <w:r>
              <w:t xml:space="preserve">Kokoro-82M o Piper TTS</w:t>
            </w:r>
          </w:p>
        </w:tc>
        <w:tc>
          <w:tcPr/>
          <w:p>
            <w:pPr>
              <w:jc w:val="left"/>
            </w:pPr>
            <w:r>
              <w:t xml:space="preserve">Voz natural, &lt;100 ms, local</w:t>
            </w:r>
          </w:p>
        </w:tc>
        <w:tc>
          <w:tcPr/>
          <w:p>
            <w:pPr>
              <w:jc w:val="left"/>
            </w:pPr>
            <w:r>
              <w:t xml:space="preserve">0 EUR</w:t>
            </w:r>
          </w:p>
        </w:tc>
      </w:tr>
      <w:tr>
        <w:tc>
          <w:tcPr/>
          <w:p>
            <w:pPr>
              <w:jc w:val="left"/>
            </w:pPr>
            <w:r>
              <w:t xml:space="preserve">Framework de bot</w:t>
            </w:r>
          </w:p>
        </w:tc>
        <w:tc>
          <w:tcPr/>
          <w:p>
            <w:pPr>
              <w:jc w:val="left"/>
            </w:pPr>
            <w:r>
              <w:t xml:space="preserve">Python + FastAPI</w:t>
            </w:r>
          </w:p>
        </w:tc>
        <w:tc>
          <w:tcPr/>
          <w:p>
            <w:pPr>
              <w:jc w:val="left"/>
            </w:pPr>
            <w:r>
              <w:t xml:space="preserve">Middleware entre todos los componentes</w:t>
            </w:r>
          </w:p>
        </w:tc>
        <w:tc>
          <w:tcPr/>
          <w:p>
            <w:pPr>
              <w:jc w:val="left"/>
            </w:pPr>
            <w:r>
              <w:t xml:space="preserve">0 EUR</w:t>
            </w:r>
          </w:p>
        </w:tc>
      </w:tr>
      <w:tr>
        <w:tc>
          <w:tcPr/>
          <w:p>
            <w:pPr>
              <w:jc w:val="left"/>
            </w:pPr>
            <w:r>
              <w:t xml:space="preserve">Puente CRM</w:t>
            </w:r>
          </w:p>
        </w:tc>
        <w:tc>
          <w:tcPr/>
          <w:p>
            <w:pPr>
              <w:jc w:val="left"/>
            </w:pPr>
            <w:r>
              <w:t xml:space="preserve">API de ViciDial + REST personalizado</w:t>
            </w:r>
          </w:p>
        </w:tc>
        <w:tc>
          <w:tcPr/>
          <w:p>
            <w:pPr>
              <w:jc w:val="left"/>
            </w:pPr>
            <w:r>
              <w:t xml:space="preserve">Datos del cliente en tiempo real</w:t>
            </w:r>
          </w:p>
        </w:tc>
        <w:tc>
          <w:tcPr/>
          <w:p>
            <w:pPr>
              <w:jc w:val="left"/>
            </w:pPr>
            <w:r>
              <w:t xml:space="preserve">0 EUR</w:t>
            </w:r>
          </w:p>
        </w:tc>
      </w:tr>
      <w:tr>
        <w:tc>
          <w:tcPr/>
          <w:p>
            <w:pPr>
              <w:jc w:val="left"/>
            </w:pPr>
            <w:r>
              <w:t xml:space="preserve">Interfaz de supervisor</w:t>
            </w:r>
          </w:p>
        </w:tc>
        <w:tc>
          <w:tcPr/>
          <w:p>
            <w:pPr>
              <w:jc w:val="left"/>
            </w:pPr>
            <w:r>
              <w:t xml:space="preserve">React + FastAPI</w:t>
            </w:r>
          </w:p>
        </w:tc>
        <w:tc>
          <w:tcPr/>
          <w:p>
            <w:pPr>
              <w:jc w:val="left"/>
            </w:pPr>
            <w:r>
              <w:t xml:space="preserve">GUI de centro de supervisión de IA</w:t>
            </w:r>
          </w:p>
        </w:tc>
        <w:tc>
          <w:tcPr/>
          <w:p>
            <w:pPr>
              <w:jc w:val="left"/>
            </w:pPr>
            <w:r>
              <w:t xml:space="preserve">0 EUR</w:t>
            </w:r>
          </w:p>
        </w:tc>
      </w:tr>
      <w:tr>
        <w:tc>
          <w:tcPr/>
          <w:p>
            <w:pPr>
              <w:jc w:val="left"/>
            </w:pPr>
            <w:r>
              <w:t xml:space="preserve">Base de datos</w:t>
            </w:r>
          </w:p>
        </w:tc>
        <w:tc>
          <w:tcPr/>
          <w:p>
            <w:pPr>
              <w:jc w:val="left"/>
            </w:pPr>
            <w:r>
              <w:t xml:space="preserve">PostgreSQL + Redis</w:t>
            </w:r>
          </w:p>
        </w:tc>
        <w:tc>
          <w:tcPr/>
          <w:p>
            <w:pPr>
              <w:jc w:val="left"/>
            </w:pPr>
            <w:r>
              <w:t xml:space="preserve">Sesiones, registros, transcripciones</w:t>
            </w:r>
          </w:p>
        </w:tc>
        <w:tc>
          <w:tcPr/>
          <w:p>
            <w:pPr>
              <w:jc w:val="left"/>
            </w:pPr>
            <w:r>
              <w:t xml:space="preserve">0 EUR</w:t>
            </w:r>
          </w:p>
        </w:tc>
      </w:tr>
      <w:tr>
        <w:tc>
          <w:tcPr/>
          <w:p>
            <w:pPr>
              <w:jc w:val="left"/>
            </w:pPr>
            <w:r>
              <w:t xml:space="preserve">Monitoreo</w:t>
            </w:r>
          </w:p>
        </w:tc>
        <w:tc>
          <w:tcPr/>
          <w:p>
            <w:pPr>
              <w:jc w:val="left"/>
            </w:pPr>
            <w:r>
              <w:t xml:space="preserve">Grafana + Prometheus</w:t>
            </w:r>
          </w:p>
        </w:tc>
        <w:tc>
          <w:tcPr/>
          <w:p>
            <w:pPr>
              <w:jc w:val="left"/>
            </w:pPr>
            <w:r>
              <w:t xml:space="preserve">Métricas en tiempo real de todas las llamadas de IA</w:t>
            </w:r>
          </w:p>
        </w:tc>
        <w:tc>
          <w:tcPr/>
          <w:p>
            <w:pPr>
              <w:jc w:val="left"/>
            </w:pPr>
            <w:r>
              <w:t xml:space="preserve">0 EUR</w:t>
            </w:r>
          </w:p>
        </w:tc>
      </w:tr>
    </w:tbl>
    <w:bookmarkEnd w:id="23"/>
    <w:bookmarkStart w:id="27" w:name="la-arquitectura-del-sistema"/>
    <w:p>
      <w:pPr>
        <w:pStyle w:val="Heading1"/>
      </w:pPr>
      <w:r>
        <w:rPr>
          <w:b/>
          <w:bCs/>
        </w:rPr>
        <w:t xml:space="preserve">5. La arquitectura del sistema</w:t>
      </w:r>
    </w:p>
    <w:bookmarkStart w:id="24" w:name="flujo-de-datos-llamada-entrante"/>
    <w:p>
      <w:pPr>
        <w:pStyle w:val="Heading2"/>
      </w:pPr>
      <w:r>
        <w:rPr>
          <w:b/>
          <w:bCs/>
        </w:rPr>
        <w:t xml:space="preserve">5.1 Flujo de datos — Llamada entrante</w:t>
      </w:r>
    </w:p>
    <w:p>
      <w:pPr>
        <w:pStyle w:val="FirstParagraph"/>
      </w:pPr>
      <w:r>
        <w:t xml:space="preserve">Llega una llamada. ¿Qué ocurre en los siguientes 200 milisegundos:</w:t>
      </w:r>
    </w:p>
    <w:p>
      <w:pPr>
        <w:pStyle w:val="Compact"/>
        <w:numPr>
          <w:ilvl w:val="0"/>
          <w:numId w:val="1002"/>
        </w:numPr>
      </w:pPr>
      <w:r>
        <w:t xml:space="preserve">Asterisk recibe la llamada vía SIP/PSTN</w:t>
      </w:r>
    </w:p>
    <w:p>
      <w:pPr>
        <w:pStyle w:val="Compact"/>
        <w:numPr>
          <w:ilvl w:val="0"/>
          <w:numId w:val="1002"/>
        </w:numPr>
      </w:pPr>
      <w:r>
        <w:t xml:space="preserve">Se activa el script AGI de ViciDial, transfiere el flujo de audio al puente del bot</w:t>
      </w:r>
    </w:p>
    <w:p>
      <w:pPr>
        <w:pStyle w:val="Compact"/>
        <w:numPr>
          <w:ilvl w:val="0"/>
          <w:numId w:val="1002"/>
        </w:numPr>
      </w:pPr>
      <w:r>
        <w:t xml:space="preserve">Se abre una sesión LiveKit — el audio fluye en tiempo real</w:t>
      </w:r>
    </w:p>
    <w:p>
      <w:pPr>
        <w:pStyle w:val="Compact"/>
        <w:numPr>
          <w:ilvl w:val="0"/>
          <w:numId w:val="1002"/>
        </w:numPr>
      </w:pPr>
      <w:r>
        <w:t xml:space="preserve">Whisper.cpp transcribe el flujo de audio en &lt;150 ms</w:t>
      </w:r>
    </w:p>
    <w:p>
      <w:pPr>
        <w:pStyle w:val="Compact"/>
        <w:numPr>
          <w:ilvl w:val="0"/>
          <w:numId w:val="1002"/>
        </w:numPr>
      </w:pPr>
      <w:r>
        <w:t xml:space="preserve">FastAPI envía la transcripción + contexto del cliente desde CRM de ViciDial al LLM de Ollama</w:t>
      </w:r>
    </w:p>
    <w:p>
      <w:pPr>
        <w:pStyle w:val="Compact"/>
        <w:numPr>
          <w:ilvl w:val="0"/>
          <w:numId w:val="1002"/>
        </w:numPr>
      </w:pPr>
      <w:r>
        <w:t xml:space="preserve">LLM genera la respuesta (lógica de decisión, acceso a base de datos, actualización CRM)</w:t>
      </w:r>
    </w:p>
    <w:p>
      <w:pPr>
        <w:pStyle w:val="Compact"/>
        <w:numPr>
          <w:ilvl w:val="0"/>
          <w:numId w:val="1002"/>
        </w:numPr>
      </w:pPr>
      <w:r>
        <w:t xml:space="preserve">Kokoro-TTS sintetiza la respuesta en &lt;100 ms</w:t>
      </w:r>
    </w:p>
    <w:p>
      <w:pPr>
        <w:pStyle w:val="Compact"/>
        <w:numPr>
          <w:ilvl w:val="0"/>
          <w:numId w:val="1002"/>
        </w:numPr>
      </w:pPr>
      <w:r>
        <w:t xml:space="preserve">El audio regresa a través de LiveKit → Asterisk → el cliente escucha hablar a la IA</w:t>
      </w:r>
    </w:p>
    <w:p>
      <w:pPr>
        <w:pStyle w:val="Compact"/>
        <w:numPr>
          <w:ilvl w:val="0"/>
          <w:numId w:val="1002"/>
        </w:numPr>
      </w:pPr>
      <w:r>
        <w:t xml:space="preserve">Después de la llamada: ACW automático — transcripción, disposición, entrada CRM, tarea de seguimiento</w:t>
      </w:r>
    </w:p>
    <w:p>
      <w:pPr>
        <w:pStyle w:val="FirstParagraph"/>
      </w:pPr>
      <w:r>
        <w:t xml:space="preserve">Latencia total voz-a-respuesta: 300–500 ms. No perceptible como pausa en la conversación.</w:t>
      </w:r>
    </w:p>
    <w:bookmarkEnd w:id="24"/>
    <w:bookmarkStart w:id="25" w:name="transferencia-cálida-a-escalación-humana"/>
    <w:p>
      <w:pPr>
        <w:pStyle w:val="Heading2"/>
      </w:pPr>
      <w:r>
        <w:rPr>
          <w:b/>
          <w:bCs/>
        </w:rPr>
        <w:t xml:space="preserve">5.2 Transferencia cálida a escalación humana</w:t>
      </w:r>
    </w:p>
    <w:p>
      <w:pPr>
        <w:pStyle w:val="FirstParagraph"/>
      </w:pPr>
      <w:r>
        <w:t xml:space="preserve">Cuando la IA detecta un caso de escalación (puntuación de sentimiento por debajo del umbral, categoría de intención desconocida, solicitud explícita del cliente por un humano), ocurre lo siguiente:</w:t>
      </w:r>
    </w:p>
    <w:p>
      <w:pPr>
        <w:pStyle w:val="Compact"/>
        <w:numPr>
          <w:ilvl w:val="0"/>
          <w:numId w:val="1003"/>
        </w:numPr>
      </w:pPr>
      <w:r>
        <w:t xml:space="preserve">La sesión LiveKit permanece abierta — sin interrupción de la conversación</w:t>
      </w:r>
    </w:p>
    <w:p>
      <w:pPr>
        <w:pStyle w:val="Compact"/>
        <w:numPr>
          <w:ilvl w:val="0"/>
          <w:numId w:val="1003"/>
        </w:numPr>
      </w:pPr>
      <w:r>
        <w:t xml:space="preserve">Transcripción completa + historial de sentimiento se envían a la pantalla del agente humano</w:t>
      </w:r>
    </w:p>
    <w:p>
      <w:pPr>
        <w:pStyle w:val="Compact"/>
        <w:numPr>
          <w:ilvl w:val="0"/>
          <w:numId w:val="1003"/>
        </w:numPr>
      </w:pPr>
      <w:r>
        <w:t xml:space="preserve">La IA susurra al agente en los primeros 10 segundos un resumen en su auricular</w:t>
      </w:r>
    </w:p>
    <w:p>
      <w:pPr>
        <w:pStyle w:val="Compact"/>
        <w:numPr>
          <w:ilvl w:val="0"/>
          <w:numId w:val="1003"/>
        </w:numPr>
      </w:pPr>
      <w:r>
        <w:t xml:space="preserve">El agente asume sin interrupción — el cliente solo nota un breve tono de 'transferencia'</w:t>
      </w:r>
    </w:p>
    <w:bookmarkEnd w:id="25"/>
    <w:bookmarkStart w:id="26" w:name="Xbeb826174aee8e457821a0ca17824084b583fe4"/>
    <w:p>
      <w:pPr>
        <w:pStyle w:val="Heading2"/>
      </w:pPr>
      <w:r>
        <w:rPr>
          <w:b/>
          <w:bCs/>
        </w:rPr>
        <w:t xml:space="preserve">5.3 Optimización de TTS con latencia cero mediante caché de audio determinista</w:t>
      </w:r>
    </w:p>
    <w:p>
      <w:pPr>
        <w:pStyle w:val="FirstParagraph"/>
      </w:pPr>
      <w:r>
        <w:t xml:space="preserve">El sistema implementa una arquitectura de respuesta de audio determinista, donde las respuestas recurrentes ya no se generan en tiempo de ejecución, sino que existen como archivos de audio TTS pre-renderizados y se entregan directamente. El resultado: un sistema de voz en tiempo real que no se comporta como IA, sino como un agente humano que responde inmediatamente — a una fracción del costo.</w:t>
      </w:r>
    </w:p>
    <w:p>
      <w:pPr>
        <w:pStyle w:val="BodyText"/>
      </w:pPr>
      <w:r>
        <w:rPr>
          <w:b/>
          <w:bCs/>
        </w:rPr>
        <w:t xml:space="preserve">Comparación de pipelines</w:t>
      </w:r>
    </w:p>
    <w:p>
      <w:pPr>
        <w:pStyle w:val="BodyText"/>
      </w:pPr>
      <w:r>
        <w:rPr>
          <w:b/>
          <w:bCs/>
        </w:rPr>
        <w:t xml:space="preserve">Pila clásica de Voice-AI:</w:t>
      </w:r>
    </w:p>
    <w:p>
      <w:pPr>
        <w:pStyle w:val="BodyText"/>
      </w:pPr>
      <w:r>
        <w:t xml:space="preserve">ASR → LLM → TTS → Reproducción</w:t>
      </w:r>
    </w:p>
    <w:p>
      <w:pPr>
        <w:pStyle w:val="BodyText"/>
      </w:pPr>
      <w:r>
        <w:rPr>
          <w:b/>
          <w:bCs/>
        </w:rPr>
        <w:t xml:space="preserve">Pila híbrida optimizada:</w:t>
      </w:r>
    </w:p>
    <w:p>
      <w:pPr>
        <w:pStyle w:val="BodyText"/>
      </w:pPr>
      <w:r>
        <w:t xml:space="preserve">ASR → Coincidencia semántica → Caché de audio → Reproducción</w:t>
      </w:r>
    </w:p>
    <w:p>
      <w:pPr>
        <w:pStyle w:val="BodyText"/>
      </w:pPr>
      <w:r>
        <w:t xml:space="preserve">↓ (Fallback) → LLM → TTS</w:t>
      </w:r>
    </w:p>
    <w:p>
      <w:pPr>
        <w:pStyle w:val="BodyText"/>
      </w:pPr>
      <w:r>
        <w:rPr>
          <w:b/>
          <w:bCs/>
        </w:rPr>
        <w:t xml:space="preserve">Mecanismo central: Caché de audio basado en intención</w:t>
      </w:r>
    </w:p>
    <w:p>
      <w:pPr>
        <w:pStyle w:val="BodyText"/>
      </w:pPr>
      <w:r>
        <w:t xml:space="preserve">Cada intención se asocia a un conjunto fijo de respuestas de audio. El audio se pre-renderiza fuera de línea (TTS por lotes) y se almacena en Redis (clave-valor) y almacenamiento de archivos (WAV/PCM). La canalización de búsqueda se ejecuta en 4 pasos: STT genera transcripción → coincidencia de embedding/patrón → coincidencia de intención con puntuación de confianza → transmisión directa del archivo de audio — sin LLM, sin TTS en tiempo de ejecución.</w:t>
      </w:r>
    </w:p>
    <w:p>
      <w:pPr>
        <w:pStyle w:val="BodyText"/>
      </w:pPr>
      <w:r>
        <w:t xml:space="preserve">Clave: intención:horarios_de_atención</w:t>
      </w:r>
    </w:p>
    <w:p>
      <w:pPr>
        <w:pStyle w:val="BodyText"/>
      </w:pPr>
      <w:r>
        <w:t xml:space="preserve">Valor: [audio_1.wav, audio_2.wav, audio_3.wav]</w:t>
      </w:r>
    </w:p>
    <w:p>
      <w:pPr>
        <w:pStyle w:val="BodyText"/>
      </w:pPr>
      <w:r>
        <w:rPr>
          <w:b/>
          <w:bCs/>
        </w:rPr>
        <w:t xml:space="preserve">Análisis de latencia</w:t>
      </w:r>
    </w:p>
    <w:tbl>
      <w:tblPr>
        <w:tblStyle w:val="Table"/>
        <w:tblW w:type="auto" w:w="0"/>
        <w:jc w:val="left"/>
        <w:tblLook w:firstRow="0" w:lastRow="0" w:firstColumn="0" w:lastColumn="0" w:noHBand="0" w:noVBand="0" w:val="0000"/>
      </w:tblPr>
      <w:tblGrid>
        <w:gridCol w:w="2640"/>
        <w:gridCol w:w="2640"/>
        <w:gridCol w:w="2640"/>
      </w:tblGrid>
      <w:tr>
        <w:tc>
          <w:tcPr/>
          <w:p>
            <w:pPr>
              <w:jc w:val="left"/>
            </w:pPr>
            <w:r>
              <w:rPr>
                <w:b/>
                <w:bCs/>
              </w:rPr>
              <w:t xml:space="preserve">Etapa</w:t>
            </w:r>
          </w:p>
        </w:tc>
        <w:tc>
          <w:tcPr/>
          <w:p>
            <w:pPr>
              <w:jc w:val="left"/>
            </w:pPr>
            <w:r>
              <w:rPr>
                <w:b/>
                <w:bCs/>
              </w:rPr>
              <w:t xml:space="preserve">Clásico (TTS en tiempo real)</w:t>
            </w:r>
          </w:p>
        </w:tc>
        <w:tc>
          <w:tcPr/>
          <w:p>
            <w:pPr>
              <w:jc w:val="left"/>
            </w:pPr>
            <w:r>
              <w:rPr>
                <w:b/>
                <w:bCs/>
              </w:rPr>
              <w:t xml:space="preserve">Optimizado (Caché pre-TTS)</w:t>
            </w:r>
          </w:p>
        </w:tc>
      </w:tr>
      <w:tr>
        <w:tc>
          <w:tcPr/>
          <w:p>
            <w:pPr>
              <w:jc w:val="left"/>
            </w:pPr>
            <w:r>
              <w:t xml:space="preserve">ASR</w:t>
            </w:r>
          </w:p>
        </w:tc>
        <w:tc>
          <w:tcPr/>
          <w:p>
            <w:pPr>
              <w:jc w:val="left"/>
            </w:pPr>
            <w:r>
              <w:t xml:space="preserve">100–150 ms</w:t>
            </w:r>
          </w:p>
        </w:tc>
        <w:tc>
          <w:tcPr/>
          <w:p>
            <w:pPr>
              <w:jc w:val="left"/>
            </w:pPr>
            <w:r>
              <w:t xml:space="preserve">100–150 ms</w:t>
            </w:r>
          </w:p>
        </w:tc>
      </w:tr>
      <w:tr>
        <w:tc>
          <w:tcPr/>
          <w:p>
            <w:pPr>
              <w:jc w:val="left"/>
            </w:pPr>
            <w:r>
              <w:t xml:space="preserve">LLM (TTFT + Tokens)</w:t>
            </w:r>
          </w:p>
        </w:tc>
        <w:tc>
          <w:tcPr/>
          <w:p>
            <w:pPr>
              <w:jc w:val="left"/>
            </w:pPr>
            <w:r>
              <w:t xml:space="preserve">300–800 ms</w:t>
            </w:r>
          </w:p>
        </w:tc>
        <w:tc>
          <w:tcPr/>
          <w:p>
            <w:pPr>
              <w:jc w:val="left"/>
            </w:pPr>
            <w:r>
              <w:rPr>
                <w:b/>
                <w:bCs/>
              </w:rPr>
              <w:t xml:space="preserve">eliminado (hit de caché)</w:t>
            </w:r>
          </w:p>
        </w:tc>
      </w:tr>
      <w:tr>
        <w:tc>
          <w:tcPr/>
          <w:p>
            <w:pPr>
              <w:jc w:val="left"/>
            </w:pPr>
            <w:r>
              <w:t xml:space="preserve">Generación TTS</w:t>
            </w:r>
          </w:p>
        </w:tc>
        <w:tc>
          <w:tcPr/>
          <w:p>
            <w:pPr>
              <w:jc w:val="left"/>
            </w:pPr>
            <w:r>
              <w:t xml:space="preserve">80–150 ms</w:t>
            </w:r>
          </w:p>
        </w:tc>
        <w:tc>
          <w:tcPr/>
          <w:p>
            <w:pPr>
              <w:jc w:val="left"/>
            </w:pPr>
            <w:r>
              <w:rPr>
                <w:b/>
                <w:bCs/>
              </w:rPr>
              <w:t xml:space="preserve">eliminado (hit de caché)</w:t>
            </w:r>
          </w:p>
        </w:tc>
      </w:tr>
      <w:tr>
        <w:tc>
          <w:tcPr/>
          <w:p>
            <w:pPr>
              <w:jc w:val="left"/>
            </w:pPr>
            <w:r>
              <w:t xml:space="preserve">Coincidencia semántica</w:t>
            </w:r>
          </w:p>
        </w:tc>
        <w:tc>
          <w:tcPr/>
          <w:p>
            <w:pPr>
              <w:jc w:val="left"/>
            </w:pPr>
            <w:r>
              <w:t xml:space="preserve">—</w:t>
            </w:r>
          </w:p>
        </w:tc>
        <w:tc>
          <w:tcPr/>
          <w:p>
            <w:pPr>
              <w:jc w:val="left"/>
            </w:pPr>
            <w:r>
              <w:t xml:space="preserve">&lt;5 ms</w:t>
            </w:r>
          </w:p>
        </w:tc>
      </w:tr>
      <w:tr>
        <w:tc>
          <w:tcPr/>
          <w:p>
            <w:pPr>
              <w:jc w:val="left"/>
            </w:pPr>
            <w:r>
              <w:t xml:space="preserve">Transmisión de audio</w:t>
            </w:r>
          </w:p>
        </w:tc>
        <w:tc>
          <w:tcPr/>
          <w:p>
            <w:pPr>
              <w:jc w:val="left"/>
            </w:pPr>
            <w:r>
              <w:t xml:space="preserve">50–100 ms</w:t>
            </w:r>
          </w:p>
        </w:tc>
        <w:tc>
          <w:tcPr/>
          <w:p>
            <w:pPr>
              <w:jc w:val="left"/>
            </w:pPr>
            <w:r>
              <w:t xml:space="preserve">50–100 ms</w:t>
            </w:r>
          </w:p>
        </w:tc>
      </w:tr>
      <w:tr>
        <w:tc>
          <w:tcPr/>
          <w:p>
            <w:pPr>
              <w:jc w:val="left"/>
            </w:pPr>
            <w:r>
              <w:rPr>
                <w:b/>
                <w:bCs/>
              </w:rPr>
              <w:t xml:space="preserve">Total</w:t>
            </w:r>
          </w:p>
        </w:tc>
        <w:tc>
          <w:tcPr/>
          <w:p>
            <w:pPr>
              <w:jc w:val="left"/>
            </w:pPr>
            <w:r>
              <w:rPr>
                <w:b/>
                <w:bCs/>
              </w:rPr>
              <w:t xml:space="preserve">530–1.200 ms</w:t>
            </w:r>
          </w:p>
        </w:tc>
        <w:tc>
          <w:tcPr/>
          <w:p>
            <w:pPr>
              <w:jc w:val="left"/>
            </w:pPr>
            <w:r>
              <w:rPr>
                <w:b/>
                <w:bCs/>
              </w:rPr>
              <w:t xml:space="preserve">150–250 ms</w:t>
            </w:r>
          </w:p>
        </w:tc>
      </w:tr>
    </w:tbl>
    <w:p>
      <w:pPr>
        <w:pStyle w:val="BodyText"/>
      </w:pPr>
      <w:r>
        <w:rPr>
          <w:b/>
          <w:bCs/>
        </w:rPr>
        <w:t xml:space="preserve">Rendimiento, costos y escalabilidad</w:t>
      </w:r>
    </w:p>
    <w:p>
      <w:pPr>
        <w:pStyle w:val="BodyText"/>
      </w:pPr>
      <w:r>
        <w:t xml:space="preserve">Con el caché pre-TTS, se elimina completamente la carga de inferencia de GPU para el 60–80% de todas las solicitudes. El sistema deja de estar limitado por GPU y pasa a estar limitado por CPU/RAM/IO — y por tanto, masivamente paralelizable. Con 50 llamadas paralelas, la carga de GPU baja del 80–100% (inestable) a menos del 30% (altamente escalable). El ahorro efectivo en costos de inferencia es del 50–80% por llamada.</w:t>
      </w:r>
    </w:p>
    <w:p>
      <w:pPr>
        <w:pStyle w:val="BodyText"/>
      </w:pPr>
      <w:r>
        <w:rPr>
          <w:b/>
          <w:bCs/>
        </w:rPr>
        <w:t xml:space="preserve">Enrutamiento por confianza y composición basada en ranuras</w:t>
      </w:r>
    </w:p>
    <w:p>
      <w:pPr>
        <w:pStyle w:val="Compact"/>
        <w:numPr>
          <w:ilvl w:val="0"/>
          <w:numId w:val="1004"/>
        </w:numPr>
      </w:pPr>
      <w:r>
        <w:rPr>
          <w:b/>
          <w:bCs/>
        </w:rPr>
        <w:t xml:space="preserve">Puntuación &gt; 0.9:</w:t>
      </w:r>
      <w:r>
        <w:t xml:space="preserve">Directamente desde caché — sin LLM, sin TTS</w:t>
      </w:r>
    </w:p>
    <w:p>
      <w:pPr>
        <w:pStyle w:val="Compact"/>
        <w:numPr>
          <w:ilvl w:val="0"/>
          <w:numId w:val="1004"/>
        </w:numPr>
      </w:pPr>
      <w:r>
        <w:rPr>
          <w:b/>
          <w:bCs/>
        </w:rPr>
        <w:t xml:space="preserve">Puntuación 0.7–0.9:</w:t>
      </w:r>
      <w:r>
        <w:t xml:space="preserve">Fallback opcional con generación parcial</w:t>
      </w:r>
    </w:p>
    <w:p>
      <w:pPr>
        <w:pStyle w:val="Compact"/>
        <w:numPr>
          <w:ilvl w:val="0"/>
          <w:numId w:val="1004"/>
        </w:numPr>
      </w:pPr>
      <w:r>
        <w:rPr>
          <w:b/>
          <w:bCs/>
        </w:rPr>
        <w:t xml:space="preserve">Puntuación &lt; 0.7:</w:t>
      </w:r>
      <w:r>
        <w:t xml:space="preserve">Fallback completo de LLM</w:t>
      </w:r>
    </w:p>
    <w:p>
      <w:pPr>
        <w:pStyle w:val="FirstParagraph"/>
      </w:pPr>
      <w:r>
        <w:t xml:space="preserve">Para respuestas dinámicas (por ejemplo, confirmaciones de citas), los bloques de audio se componen mediante composición por ranuras: “Su cita es el” + [DATE.wav] + “a las” + [TIME.wav] — dinámica completa sin TTS en tiempo de ejecución.</w:t>
      </w:r>
    </w:p>
    <w:tbl>
      <w:tblPr>
        <w:tblStyle w:val="Table"/>
        <w:tblW w:type="pct" w:w="5000"/>
        <w:jc w:val="left"/>
        <w:tblLayout w:type="fixed"/>
        <w:tblLook w:firstRow="0" w:lastRow="0" w:firstColumn="0" w:lastColumn="0" w:noHBand="0" w:noVBand="0" w:val="0000"/>
      </w:tblPr>
      <w:tblGrid>
        <w:gridCol w:w="7920"/>
      </w:tblGrid>
      <w:tr>
        <w:tc>
          <w:tcPr/>
          <w:p>
            <w:pPr>
              <w:jc w:val="left"/>
            </w:pPr>
            <w:r>
              <w:rPr>
                <w:b/>
                <w:bCs/>
              </w:rPr>
              <w:t xml:space="preserve">Resultado: Métricas clave</w:t>
            </w:r>
          </w:p>
          <w:p>
            <w:pPr>
              <w:jc w:val="left"/>
            </w:pPr>
            <w:r>
              <w:t xml:space="preserve">Latencia: –70% hasta –85% | Costos: –50% hasta –80% | Carga de GPU: drásticamente reducida | Escalabilidad: mejorada exponencialmente | Calidad: determinista y completamente verificable</w:t>
            </w:r>
          </w:p>
        </w:tc>
      </w:tr>
    </w:tbl>
    <w:bookmarkEnd w:id="26"/>
    <w:bookmarkEnd w:id="27"/>
    <w:bookmarkStart w:id="31" w:name="hitos-para-el-agente-de-codificación"/>
    <w:p>
      <w:pPr>
        <w:pStyle w:val="Heading1"/>
      </w:pPr>
      <w:r>
        <w:rPr>
          <w:b/>
          <w:bCs/>
        </w:rPr>
        <w:t xml:space="preserve">6. Hitos para el agente de codificación</w:t>
      </w:r>
    </w:p>
    <w:p>
      <w:pPr>
        <w:pStyle w:val="FirstParagraph"/>
      </w:pPr>
      <w:r>
        <w:t xml:space="preserve">El agente de codificación (Claude Code / Cursor Agent / agente local) recibe estos hitos como tareas secuenciales. Cada hito termina con un incremento del sistema probado y funcional. Ningún hito comienza antes de que el anterior pase el 100% de las pruebas.</w:t>
      </w:r>
    </w:p>
    <w:bookmarkStart w:id="28" w:name="mes-1-fundamentos"/>
    <w:p>
      <w:pPr>
        <w:pStyle w:val="Heading2"/>
      </w:pPr>
      <w:r>
        <w:rPr>
          <w:b/>
          <w:bCs/>
        </w:rPr>
        <w:t xml:space="preserve">Mes 1 — Fundamentos</w:t>
      </w:r>
    </w:p>
    <w:tbl>
      <w:tblPr>
        <w:tblStyle w:val="Table"/>
        <w:tblW w:type="auto" w:w="0"/>
        <w:jc w:val="left"/>
        <w:tblLook w:firstRow="1" w:lastRow="0" w:firstColumn="0" w:lastColumn="0" w:noHBand="0" w:noVBand="0" w:val="0020"/>
      </w:tblPr>
      <w:tblGrid>
        <w:gridCol w:w="1980"/>
        <w:gridCol w:w="1980"/>
        <w:gridCol w:w="1980"/>
        <w:gridCol w:w="1980"/>
      </w:tblGrid>
      <w:tr>
        <w:trPr>
          <w:tblHeader w:val="on"/>
        </w:trPr>
        <w:tc>
          <w:tcPr/>
          <w:p>
            <w:pPr>
              <w:jc w:val="left"/>
            </w:pPr>
            <w:r>
              <w:rPr>
                <w:b/>
                <w:bCs/>
              </w:rPr>
              <w:t xml:space="preserve">Hito</w:t>
            </w:r>
          </w:p>
        </w:tc>
        <w:tc>
          <w:tcPr/>
          <w:p>
            <w:pPr>
              <w:jc w:val="left"/>
            </w:pPr>
            <w:r>
              <w:rPr>
                <w:b/>
                <w:bCs/>
              </w:rPr>
              <w:t xml:space="preserve">Periodo</w:t>
            </w:r>
          </w:p>
        </w:tc>
        <w:tc>
          <w:tcPr/>
          <w:p>
            <w:pPr>
              <w:jc w:val="left"/>
            </w:pPr>
            <w:r>
              <w:rPr>
                <w:b/>
                <w:bCs/>
              </w:rPr>
              <w:t xml:space="preserve">Tarea para agente de codificación</w:t>
            </w:r>
          </w:p>
        </w:tc>
        <w:tc>
          <w:tcPr/>
          <w:p>
            <w:pPr>
              <w:jc w:val="left"/>
            </w:pPr>
            <w:r>
              <w:rPr>
                <w:b/>
                <w:bCs/>
              </w:rPr>
              <w:t xml:space="preserve">Criterio de éxito</w:t>
            </w:r>
          </w:p>
        </w:tc>
      </w:tr>
      <w:tr>
        <w:tc>
          <w:tcPr/>
          <w:p>
            <w:pPr>
              <w:jc w:val="left"/>
            </w:pPr>
            <w:r>
              <w:t xml:space="preserve">M1.1</w:t>
            </w:r>
          </w:p>
        </w:tc>
        <w:tc>
          <w:tcPr/>
          <w:p>
            <w:pPr>
              <w:jc w:val="left"/>
            </w:pPr>
            <w:r>
              <w:t xml:space="preserve">Semana 1–2</w:t>
            </w:r>
          </w:p>
        </w:tc>
        <w:tc>
          <w:tcPr/>
          <w:p>
            <w:pPr>
              <w:jc w:val="left"/>
            </w:pPr>
            <w:r>
              <w:t xml:space="preserve">Instalar y configurar ViciDial + Asterisk en Ubuntu 24.04. Conectar troncal SIP. Realizar llamada de prueba.</w:t>
            </w:r>
          </w:p>
        </w:tc>
        <w:tc>
          <w:tcPr/>
          <w:p>
            <w:pPr>
              <w:jc w:val="left"/>
            </w:pPr>
            <w:r>
              <w:t xml:space="preserve">Llamada entrante llega a la cola de ViciDial. Se activa el script AGI.</w:t>
            </w:r>
          </w:p>
        </w:tc>
      </w:tr>
      <w:tr>
        <w:tc>
          <w:tcPr/>
          <w:p>
            <w:pPr>
              <w:jc w:val="left"/>
            </w:pPr>
            <w:r>
              <w:t xml:space="preserve">M1.2</w:t>
            </w:r>
          </w:p>
        </w:tc>
        <w:tc>
          <w:tcPr/>
          <w:p>
            <w:pPr>
              <w:jc w:val="left"/>
            </w:pPr>
            <w:r>
              <w:t xml:space="preserve">Semana 1–2</w:t>
            </w:r>
          </w:p>
        </w:tc>
        <w:tc>
          <w:tcPr/>
          <w:p>
            <w:pPr>
              <w:jc w:val="left"/>
            </w:pPr>
            <w:r>
              <w:t xml:space="preserve">Instalar servidor LiveKit (Docker). Construir puente de audio entre Asterisk y LiveKit (Python FastAPI). Flujo de audio bidireccional.</w:t>
            </w:r>
          </w:p>
        </w:tc>
        <w:tc>
          <w:tcPr/>
          <w:p>
            <w:pPr>
              <w:jc w:val="left"/>
            </w:pPr>
            <w:r>
              <w:t xml:space="preserve">Señal de prueba de 1 kHz entra en LiveKit y regresa sin retraso.</w:t>
            </w:r>
          </w:p>
        </w:tc>
      </w:tr>
      <w:tr>
        <w:tc>
          <w:tcPr/>
          <w:p>
            <w:pPr>
              <w:jc w:val="left"/>
            </w:pPr>
            <w:r>
              <w:t xml:space="preserve">M1.3</w:t>
            </w:r>
          </w:p>
        </w:tc>
        <w:tc>
          <w:tcPr/>
          <w:p>
            <w:pPr>
              <w:jc w:val="left"/>
            </w:pPr>
            <w:r>
              <w:t xml:space="preserve">Semana 2–3</w:t>
            </w:r>
          </w:p>
        </w:tc>
        <w:tc>
          <w:tcPr/>
          <w:p>
            <w:pPr>
              <w:jc w:val="left"/>
            </w:pPr>
            <w:r>
              <w:t xml:space="preserve">Compilar y optimizar Whisper.cpp con CUDA. Construir endpoint FastAPI para STT en streaming. Benchmark de latencia: objetivo &lt;150 ms.</w:t>
            </w:r>
          </w:p>
        </w:tc>
        <w:tc>
          <w:tcPr/>
          <w:p>
            <w:pPr>
              <w:jc w:val="left"/>
            </w:pPr>
            <w:r>
              <w:t xml:space="preserve">Transcripción en vivo aparece en la consola durante el habla. Latencia medida y documentada.</w:t>
            </w:r>
          </w:p>
        </w:tc>
      </w:tr>
      <w:tr>
        <w:tc>
          <w:tcPr/>
          <w:p>
            <w:pPr>
              <w:jc w:val="left"/>
            </w:pPr>
            <w:r>
              <w:t xml:space="preserve">M1.4</w:t>
            </w:r>
          </w:p>
        </w:tc>
        <w:tc>
          <w:tcPr/>
          <w:p>
            <w:pPr>
              <w:jc w:val="left"/>
            </w:pPr>
            <w:r>
              <w:t xml:space="preserve">Semana 2–3</w:t>
            </w:r>
          </w:p>
        </w:tc>
        <w:tc>
          <w:tcPr/>
          <w:p>
            <w:pPr>
              <w:jc w:val="left"/>
            </w:pPr>
            <w:r>
              <w:t xml:space="preserve">Instalar Ollama. Cargar Llama 3.3 70B Q4. Desarrollar prompt del sistema para agente de centro de llamadas. Probar API REST.</w:t>
            </w:r>
          </w:p>
        </w:tc>
        <w:tc>
          <w:tcPr/>
          <w:p>
            <w:pPr>
              <w:jc w:val="left"/>
            </w:pPr>
            <w:r>
              <w:t xml:space="preserve">LLM responde correctamente a consultas simuladas de clientes. Tiempo de respuesta &lt;2 segundos.</w:t>
            </w:r>
          </w:p>
        </w:tc>
      </w:tr>
      <w:tr>
        <w:tc>
          <w:tcPr/>
          <w:p>
            <w:pPr>
              <w:jc w:val="left"/>
            </w:pPr>
            <w:r>
              <w:t xml:space="preserve">M1.5</w:t>
            </w:r>
          </w:p>
        </w:tc>
        <w:tc>
          <w:tcPr/>
          <w:p>
            <w:pPr>
              <w:jc w:val="left"/>
            </w:pPr>
            <w:r>
              <w:t xml:space="preserve">Semana 3–4</w:t>
            </w:r>
          </w:p>
        </w:tc>
        <w:tc>
          <w:tcPr/>
          <w:p>
            <w:pPr>
              <w:jc w:val="left"/>
            </w:pPr>
            <w:r>
              <w:t xml:space="preserve">Instalar Kokoro TTS o Piper. Activar inferencia CUDA. Endpoint FastAPI-TTS. Inyectar salida de audio en Asterisk.</w:t>
            </w:r>
          </w:p>
        </w:tc>
        <w:tc>
          <w:tcPr/>
          <w:p>
            <w:pPr>
              <w:jc w:val="left"/>
            </w:pPr>
            <w:r>
              <w:t xml:space="preserve">Se escucha la voz de la IA en la llamada de prueba. Latencia &lt;100 ms.</w:t>
            </w:r>
          </w:p>
        </w:tc>
      </w:tr>
      <w:tr>
        <w:tc>
          <w:tcPr/>
          <w:p>
            <w:pPr>
              <w:jc w:val="left"/>
            </w:pPr>
            <w:r>
              <w:t xml:space="preserve">M1.6</w:t>
            </w:r>
          </w:p>
        </w:tc>
        <w:tc>
          <w:tcPr/>
          <w:p>
            <w:pPr>
              <w:jc w:val="left"/>
            </w:pPr>
            <w:r>
              <w:t xml:space="preserve">Semana 4</w:t>
            </w:r>
          </w:p>
        </w:tc>
        <w:tc>
          <w:tcPr/>
          <w:p>
            <w:pPr>
              <w:jc w:val="left"/>
            </w:pPr>
            <w:r>
              <w:t xml:space="preserve">Conectar todos los componentes: Asterisk → LiveKit → STT → LLM → TTS → Asterisk. Primera llamada de prueba de extremo a extremo.</w:t>
            </w:r>
          </w:p>
        </w:tc>
        <w:tc>
          <w:tcPr/>
          <w:p>
            <w:pPr>
              <w:jc w:val="left"/>
            </w:pPr>
            <w:r>
              <w:t xml:space="preserve">La IA lleva una conversación completa (saludo, pregunta, respuesta, despedida). Humano vs IA: indistinguible.</w:t>
            </w:r>
          </w:p>
        </w:tc>
      </w:tr>
    </w:tbl>
    <w:bookmarkEnd w:id="28"/>
    <w:bookmarkStart w:id="29" w:name="mes-2-inteligencia"/>
    <w:p>
      <w:pPr>
        <w:pStyle w:val="Heading2"/>
      </w:pPr>
      <w:r>
        <w:rPr>
          <w:b/>
          <w:bCs/>
        </w:rPr>
        <w:t xml:space="preserve">Mes 2 — Inteligencia</w:t>
      </w:r>
    </w:p>
    <w:tbl>
      <w:tblPr>
        <w:tblStyle w:val="Table"/>
        <w:tblW w:type="auto" w:w="0"/>
        <w:jc w:val="left"/>
        <w:tblLook w:firstRow="1" w:lastRow="0" w:firstColumn="0" w:lastColumn="0" w:noHBand="0" w:noVBand="0" w:val="0020"/>
      </w:tblPr>
      <w:tblGrid>
        <w:gridCol w:w="1980"/>
        <w:gridCol w:w="1980"/>
        <w:gridCol w:w="1980"/>
        <w:gridCol w:w="1980"/>
      </w:tblGrid>
      <w:tr>
        <w:trPr>
          <w:tblHeader w:val="on"/>
        </w:trPr>
        <w:tc>
          <w:tcPr/>
          <w:p>
            <w:pPr>
              <w:jc w:val="left"/>
            </w:pPr>
            <w:r>
              <w:rPr>
                <w:b/>
                <w:bCs/>
              </w:rPr>
              <w:t xml:space="preserve">Hito</w:t>
            </w:r>
          </w:p>
        </w:tc>
        <w:tc>
          <w:tcPr/>
          <w:p>
            <w:pPr>
              <w:jc w:val="left"/>
            </w:pPr>
            <w:r>
              <w:rPr>
                <w:b/>
                <w:bCs/>
              </w:rPr>
              <w:t xml:space="preserve">Periodo</w:t>
            </w:r>
          </w:p>
        </w:tc>
        <w:tc>
          <w:tcPr/>
          <w:p>
            <w:pPr>
              <w:jc w:val="left"/>
            </w:pPr>
            <w:r>
              <w:rPr>
                <w:b/>
                <w:bCs/>
              </w:rPr>
              <w:t xml:space="preserve">Tarea para agente de codificación</w:t>
            </w:r>
          </w:p>
        </w:tc>
        <w:tc>
          <w:tcPr/>
          <w:p>
            <w:pPr>
              <w:jc w:val="left"/>
            </w:pPr>
            <w:r>
              <w:rPr>
                <w:b/>
                <w:bCs/>
              </w:rPr>
              <w:t xml:space="preserve">Criterio de éxito</w:t>
            </w:r>
          </w:p>
        </w:tc>
      </w:tr>
      <w:tr>
        <w:tc>
          <w:tcPr/>
          <w:p>
            <w:pPr>
              <w:jc w:val="left"/>
            </w:pPr>
            <w:r>
              <w:t xml:space="preserve">M2.1</w:t>
            </w:r>
          </w:p>
        </w:tc>
        <w:tc>
          <w:tcPr/>
          <w:p>
            <w:pPr>
              <w:jc w:val="left"/>
            </w:pPr>
            <w:r>
              <w:t xml:space="preserve">Semana 5–6</w:t>
            </w:r>
          </w:p>
        </w:tc>
        <w:tc>
          <w:tcPr/>
          <w:p>
            <w:pPr>
              <w:jc w:val="left"/>
            </w:pPr>
            <w:r>
              <w:t xml:space="preserve">Conectar API REST de ViciDial. Inyectar datos CRM (nombre del cliente, historial, tickets abiertos) en el contexto del LLM.</w:t>
            </w:r>
          </w:p>
        </w:tc>
        <w:tc>
          <w:tcPr/>
          <w:p>
            <w:pPr>
              <w:jc w:val="left"/>
            </w:pPr>
            <w:r>
              <w:t xml:space="preserve">La IA saluda al llamante por nombre y conoce el último contacto.</w:t>
            </w:r>
          </w:p>
        </w:tc>
      </w:tr>
      <w:tr>
        <w:tc>
          <w:tcPr/>
          <w:p>
            <w:pPr>
              <w:jc w:val="left"/>
            </w:pPr>
            <w:r>
              <w:t xml:space="preserve">M2.2</w:t>
            </w:r>
          </w:p>
        </w:tc>
        <w:tc>
          <w:tcPr/>
          <w:p>
            <w:pPr>
              <w:jc w:val="left"/>
            </w:pPr>
            <w:r>
              <w:t xml:space="preserve">Semana 5–6</w:t>
            </w:r>
          </w:p>
        </w:tc>
        <w:tc>
          <w:tcPr/>
          <w:p>
            <w:pPr>
              <w:jc w:val="left"/>
            </w:pPr>
            <w:r>
              <w:t xml:space="preserve">Construir clasificación de intenciones. Modelar las 20 principales razones de llamada como árbol de intenciones. LLM decide qué flujo de trabajo ejecutar.</w:t>
            </w:r>
          </w:p>
        </w:tc>
        <w:tc>
          <w:tcPr/>
          <w:p>
            <w:pPr>
              <w:jc w:val="left"/>
            </w:pPr>
            <w:r>
              <w:t xml:space="preserve">El 90% de las solicitudes estándar se clasifican correctamente y se resuelven sin escalación.</w:t>
            </w:r>
          </w:p>
        </w:tc>
      </w:tr>
      <w:tr>
        <w:tc>
          <w:tcPr/>
          <w:p>
            <w:pPr>
              <w:jc w:val="left"/>
            </w:pPr>
            <w:r>
              <w:t xml:space="preserve">M2.3</w:t>
            </w:r>
          </w:p>
        </w:tc>
        <w:tc>
          <w:tcPr/>
          <w:p>
            <w:pPr>
              <w:jc w:val="left"/>
            </w:pPr>
            <w:r>
              <w:t xml:space="preserve">Semana 6–7</w:t>
            </w:r>
          </w:p>
        </w:tc>
        <w:tc>
          <w:tcPr/>
          <w:p>
            <w:pPr>
              <w:jc w:val="left"/>
            </w:pPr>
            <w:r>
              <w:t xml:space="preserve">Análisis de sentimiento en tiempo real (Python transformers local). Definir desencadenantes de escalación. Implementar lógica de transferencia cálida.</w:t>
            </w:r>
          </w:p>
        </w:tc>
        <w:tc>
          <w:tcPr/>
          <w:p>
            <w:pPr>
              <w:jc w:val="left"/>
            </w:pPr>
            <w:r>
              <w:t xml:space="preserve">Con cliente simulado enojado: la IA transfiere correctamente al agente humano en &lt;30 segundos, incluyendo contexto.</w:t>
            </w:r>
          </w:p>
        </w:tc>
      </w:tr>
      <w:tr>
        <w:tc>
          <w:tcPr/>
          <w:p>
            <w:pPr>
              <w:jc w:val="left"/>
            </w:pPr>
            <w:r>
              <w:t xml:space="preserve">M2.4</w:t>
            </w:r>
          </w:p>
        </w:tc>
        <w:tc>
          <w:tcPr/>
          <w:p>
            <w:pPr>
              <w:jc w:val="left"/>
            </w:pPr>
            <w:r>
              <w:t xml:space="preserve">Semana 6–7</w:t>
            </w:r>
          </w:p>
        </w:tc>
        <w:tc>
          <w:tcPr/>
          <w:p>
            <w:pPr>
              <w:jc w:val="left"/>
            </w:pPr>
            <w:r>
              <w:t xml:space="preserve">Módulo de campañas salientes. La IA llama automáticamente desde una lista, sigue el guion, documenta el resultado.</w:t>
            </w:r>
          </w:p>
        </w:tc>
        <w:tc>
          <w:tcPr/>
          <w:p>
            <w:pPr>
              <w:jc w:val="left"/>
            </w:pPr>
            <w:r>
              <w:t xml:space="preserve">100 llamadas de prueba procesadas automáticamente. Datos de disposición registrados correctamente en ViciDial.</w:t>
            </w:r>
          </w:p>
        </w:tc>
      </w:tr>
      <w:tr>
        <w:tc>
          <w:tcPr/>
          <w:p>
            <w:pPr>
              <w:jc w:val="left"/>
            </w:pPr>
            <w:r>
              <w:t xml:space="preserve">M2.5</w:t>
            </w:r>
          </w:p>
        </w:tc>
        <w:tc>
          <w:tcPr/>
          <w:p>
            <w:pPr>
              <w:jc w:val="left"/>
            </w:pPr>
            <w:r>
              <w:t xml:space="preserve">Semana 7–8</w:t>
            </w:r>
          </w:p>
        </w:tc>
        <w:tc>
          <w:tcPr/>
          <w:p>
            <w:pPr>
              <w:jc w:val="left"/>
            </w:pPr>
            <w:r>
              <w:t xml:space="preserve">Automatización ACW: después de cada llamada, resumir automáticamente la transcripción, establecer disposición, actualizar CRM, crear tarea de seguimiento.</w:t>
            </w:r>
          </w:p>
        </w:tc>
        <w:tc>
          <w:tcPr/>
          <w:p>
            <w:pPr>
              <w:jc w:val="left"/>
            </w:pPr>
            <w:r>
              <w:t xml:space="preserve">Ningún procesamiento manual necesario. Todos los campos en ViciDial completados correctamente.</w:t>
            </w:r>
          </w:p>
        </w:tc>
      </w:tr>
      <w:tr>
        <w:tc>
          <w:tcPr/>
          <w:p>
            <w:pPr>
              <w:jc w:val="left"/>
            </w:pPr>
            <w:r>
              <w:t xml:space="preserve">M2.6</w:t>
            </w:r>
          </w:p>
        </w:tc>
        <w:tc>
          <w:tcPr/>
          <w:p>
            <w:pPr>
              <w:jc w:val="left"/>
            </w:pPr>
            <w:r>
              <w:t xml:space="preserve">Semana 8</w:t>
            </w:r>
          </w:p>
        </w:tc>
        <w:tc>
          <w:tcPr/>
          <w:p>
            <w:pPr>
              <w:jc w:val="left"/>
            </w:pPr>
            <w:r>
              <w:t xml:space="preserve">Modo susurro del agente: la IA escucha llamadas humanas y empuja recomendaciones en tiempo real a la pantalla del agente.</w:t>
            </w:r>
          </w:p>
        </w:tc>
        <w:tc>
          <w:tcPr/>
          <w:p>
            <w:pPr>
              <w:jc w:val="left"/>
            </w:pPr>
            <w:r>
              <w:t xml:space="preserve">El agente recibe sugerencias en vivo. Sin retraso &gt; 2 segundos tras la declaración del cliente.</w:t>
            </w:r>
          </w:p>
        </w:tc>
      </w:tr>
    </w:tbl>
    <w:bookmarkEnd w:id="29"/>
    <w:bookmarkStart w:id="30" w:name="mes-3-supervisión-y-gui"/>
    <w:p>
      <w:pPr>
        <w:pStyle w:val="Heading2"/>
      </w:pPr>
      <w:r>
        <w:rPr>
          <w:b/>
          <w:bCs/>
        </w:rPr>
        <w:t xml:space="preserve">Mes 3 — Supervisión y GUI</w:t>
      </w:r>
    </w:p>
    <w:tbl>
      <w:tblPr>
        <w:tblStyle w:val="Table"/>
        <w:tblW w:type="auto" w:w="0"/>
        <w:jc w:val="left"/>
        <w:tblLook w:firstRow="1" w:lastRow="0" w:firstColumn="0" w:lastColumn="0" w:noHBand="0" w:noVBand="0" w:val="0020"/>
      </w:tblPr>
      <w:tblGrid>
        <w:gridCol w:w="1980"/>
        <w:gridCol w:w="1980"/>
        <w:gridCol w:w="1980"/>
        <w:gridCol w:w="1980"/>
      </w:tblGrid>
      <w:tr>
        <w:trPr>
          <w:tblHeader w:val="on"/>
        </w:trPr>
        <w:tc>
          <w:tcPr/>
          <w:p>
            <w:pPr>
              <w:jc w:val="left"/>
            </w:pPr>
            <w:r>
              <w:rPr>
                <w:b/>
                <w:bCs/>
              </w:rPr>
              <w:t xml:space="preserve">Hito</w:t>
            </w:r>
          </w:p>
        </w:tc>
        <w:tc>
          <w:tcPr/>
          <w:p>
            <w:pPr>
              <w:jc w:val="left"/>
            </w:pPr>
            <w:r>
              <w:rPr>
                <w:b/>
                <w:bCs/>
              </w:rPr>
              <w:t xml:space="preserve">Periodo</w:t>
            </w:r>
          </w:p>
        </w:tc>
        <w:tc>
          <w:tcPr/>
          <w:p>
            <w:pPr>
              <w:jc w:val="left"/>
            </w:pPr>
            <w:r>
              <w:rPr>
                <w:b/>
                <w:bCs/>
              </w:rPr>
              <w:t xml:space="preserve">Tarea para agente de codificación</w:t>
            </w:r>
          </w:p>
        </w:tc>
        <w:tc>
          <w:tcPr/>
          <w:p>
            <w:pPr>
              <w:jc w:val="left"/>
            </w:pPr>
            <w:r>
              <w:rPr>
                <w:b/>
                <w:bCs/>
              </w:rPr>
              <w:t xml:space="preserve">Criterio de éxito</w:t>
            </w:r>
          </w:p>
        </w:tc>
      </w:tr>
      <w:tr>
        <w:tc>
          <w:tcPr/>
          <w:p>
            <w:pPr>
              <w:jc w:val="left"/>
            </w:pPr>
            <w:r>
              <w:t xml:space="preserve">M3.1</w:t>
            </w:r>
          </w:p>
        </w:tc>
        <w:tc>
          <w:tcPr/>
          <w:p>
            <w:pPr>
              <w:jc w:val="left"/>
            </w:pPr>
            <w:r>
              <w:t xml:space="preserve">Semana 9–10</w:t>
            </w:r>
          </w:p>
        </w:tc>
        <w:tc>
          <w:tcPr/>
          <w:p>
            <w:pPr>
              <w:jc w:val="left"/>
            </w:pPr>
            <w:r>
              <w:t xml:space="preserve">Construir GUI de centro de supervisión de IA (React + FastAPI). Tablero en vivo: llamadas activas de IA, mapa térmico de sentimiento, tasa de escalación, tasa de éxito.</w:t>
            </w:r>
          </w:p>
        </w:tc>
        <w:tc>
          <w:tcPr/>
          <w:p>
            <w:pPr>
              <w:jc w:val="left"/>
            </w:pPr>
            <w:r>
              <w:t xml:space="preserve">El tablero funciona establemente. Todas las métricas se actualizan en tiempo real (&lt;1 segundo de retraso).</w:t>
            </w:r>
          </w:p>
        </w:tc>
      </w:tr>
      <w:tr>
        <w:tc>
          <w:tcPr/>
          <w:p>
            <w:pPr>
              <w:jc w:val="left"/>
            </w:pPr>
            <w:r>
              <w:t xml:space="preserve">M3.2</w:t>
            </w:r>
          </w:p>
        </w:tc>
        <w:tc>
          <w:tcPr/>
          <w:p>
            <w:pPr>
              <w:jc w:val="left"/>
            </w:pPr>
            <w:r>
              <w:t xml:space="preserve">Semana 9–10</w:t>
            </w:r>
          </w:p>
        </w:tc>
        <w:tc>
          <w:tcPr/>
          <w:p>
            <w:pPr>
              <w:jc w:val="left"/>
            </w:pPr>
            <w:r>
              <w:t xml:space="preserve">Módulo QA: el 100% de las llamadas se evalúa después de la conversación mediante LLM. Informe de puntuación y recomendaciones de capacitación generados automáticamente.</w:t>
            </w:r>
          </w:p>
        </w:tc>
        <w:tc>
          <w:tcPr/>
          <w:p>
            <w:pPr>
              <w:jc w:val="left"/>
            </w:pPr>
            <w:r>
              <w:t xml:space="preserve">Cada llamada recibe puntuación en &lt;60 segundos tras finalizar. Informe accesible en el tablero.</w:t>
            </w:r>
          </w:p>
        </w:tc>
      </w:tr>
      <w:tr>
        <w:tc>
          <w:tcPr/>
          <w:p>
            <w:pPr>
              <w:jc w:val="left"/>
            </w:pPr>
            <w:r>
              <w:t xml:space="preserve">M3.3</w:t>
            </w:r>
          </w:p>
        </w:tc>
        <w:tc>
          <w:tcPr/>
          <w:p>
            <w:pPr>
              <w:jc w:val="left"/>
            </w:pPr>
            <w:r>
              <w:t xml:space="preserve">Semana 10–11</w:t>
            </w:r>
          </w:p>
        </w:tc>
        <w:tc>
          <w:tcPr/>
          <w:p>
            <w:pPr>
              <w:jc w:val="left"/>
            </w:pPr>
            <w:r>
              <w:t xml:space="preserve">Soporte multilingüe: Whisper reconoce automáticamente el idioma. LLM responde en el idioma del cliente. TTS en idioma objetivo (DE, EN, FR, ES, IT, TR, AR, ZH).</w:t>
            </w:r>
          </w:p>
        </w:tc>
        <w:tc>
          <w:tcPr/>
          <w:p>
            <w:pPr>
              <w:jc w:val="left"/>
            </w:pPr>
            <w:r>
              <w:t xml:space="preserve">8 idiomas probados. Reconocimiento de voz correcto en &gt;95% de los casos.</w:t>
            </w:r>
          </w:p>
        </w:tc>
      </w:tr>
      <w:tr>
        <w:tc>
          <w:tcPr/>
          <w:p>
            <w:pPr>
              <w:jc w:val="left"/>
            </w:pPr>
            <w:r>
              <w:t xml:space="preserve">M3.4</w:t>
            </w:r>
          </w:p>
        </w:tc>
        <w:tc>
          <w:tcPr/>
          <w:p>
            <w:pPr>
              <w:jc w:val="left"/>
            </w:pPr>
            <w:r>
              <w:t xml:space="preserve">Semana 10–11</w:t>
            </w:r>
          </w:p>
        </w:tc>
        <w:tc>
          <w:tcPr/>
          <w:p>
            <w:pPr>
              <w:jc w:val="left"/>
            </w:pPr>
            <w:r>
              <w:t xml:space="preserve">Capa de cumplimiento: todas las respuestas del LLM se verifican contra reglas (palabras RGPD, promesas prohibidas, declaraciones obligatorias). Violación detiene la salida.</w:t>
            </w:r>
          </w:p>
        </w:tc>
        <w:tc>
          <w:tcPr/>
          <w:p>
            <w:pPr>
              <w:jc w:val="left"/>
            </w:pPr>
            <w:r>
              <w:t xml:space="preserve">100 violaciones simuladas: todas detectadas y bloqueadas.</w:t>
            </w:r>
          </w:p>
        </w:tc>
      </w:tr>
      <w:tr>
        <w:tc>
          <w:tcPr/>
          <w:p>
            <w:pPr>
              <w:jc w:val="left"/>
            </w:pPr>
            <w:r>
              <w:t xml:space="preserve">M3.5</w:t>
            </w:r>
          </w:p>
        </w:tc>
        <w:tc>
          <w:tcPr/>
          <w:p>
            <w:pPr>
              <w:jc w:val="left"/>
            </w:pPr>
            <w:r>
              <w:t xml:space="preserve">Semana 11–12</w:t>
            </w:r>
          </w:p>
        </w:tc>
        <w:tc>
          <w:tcPr/>
          <w:p>
            <w:pPr>
              <w:jc w:val="left"/>
            </w:pPr>
            <w:r>
              <w:t xml:space="preserve">IA de supervisor: capa de IA supervisa todas las llamadas en curso, prioriza escalaciones, asigna agentes humanos según coincidencia de habilidades.</w:t>
            </w:r>
          </w:p>
        </w:tc>
        <w:tc>
          <w:tcPr/>
          <w:p>
            <w:pPr>
              <w:jc w:val="left"/>
            </w:pPr>
            <w:r>
              <w:t xml:space="preserve">No se necesita supervisor humano para control rutinario.</w:t>
            </w:r>
          </w:p>
        </w:tc>
      </w:tr>
      <w:tr>
        <w:tc>
          <w:tcPr/>
          <w:p>
            <w:pPr>
              <w:jc w:val="left"/>
            </w:pPr>
            <w:r>
              <w:t xml:space="preserve">M3.6</w:t>
            </w:r>
          </w:p>
        </w:tc>
        <w:tc>
          <w:tcPr/>
          <w:p>
            <w:pPr>
              <w:jc w:val="left"/>
            </w:pPr>
            <w:r>
              <w:t xml:space="preserve">Semana 12</w:t>
            </w:r>
          </w:p>
        </w:tc>
        <w:tc>
          <w:tcPr/>
          <w:p>
            <w:pPr>
              <w:jc w:val="left"/>
            </w:pPr>
            <w:r>
              <w:t xml:space="preserve">Prueba de carga: simular 50 llamadas paralelas de IA. Medir rendimiento. Eliminar cuellos de botella. Generar documentación del sistema.</w:t>
            </w:r>
          </w:p>
        </w:tc>
        <w:tc>
          <w:tcPr/>
          <w:p>
            <w:pPr>
              <w:jc w:val="left"/>
            </w:pPr>
            <w:r>
              <w:t xml:space="preserve">50 llamadas paralelas sin sobrecarga de CPU. Uso de GPU &lt;80%. Latencia estable.</w:t>
            </w:r>
          </w:p>
        </w:tc>
      </w:tr>
    </w:tbl>
    <w:bookmarkEnd w:id="30"/>
    <w:bookmarkEnd w:id="31"/>
    <w:bookmarkStart w:id="35" w:name="Xd357760cd14a9011e9083f3b0f44d079dc13fa4"/>
    <w:p>
      <w:pPr>
        <w:pStyle w:val="Heading1"/>
      </w:pPr>
      <w:r>
        <w:rPr>
          <w:b/>
          <w:bCs/>
        </w:rPr>
        <w:t xml:space="preserve">7. El centro de supervisión de IA — especificación de GUI</w:t>
      </w:r>
    </w:p>
    <w:p>
      <w:pPr>
        <w:pStyle w:val="FirstParagraph"/>
      </w:pPr>
      <w:r>
        <w:t xml:space="preserve">El tablero es el centro nervioso. Los agentes humanos restantes (10%) y sus supervisores ven todo en una pantalla. El agente de codificación construye esta interfaz como una aplicación de página única React con backend FastAPI y WebSocket para actualizaciones en tiempo real.</w:t>
      </w:r>
    </w:p>
    <w:bookmarkStart w:id="32" w:name="pantalla-principal-operaciones-en-vivo"/>
    <w:p>
      <w:pPr>
        <w:pStyle w:val="Heading2"/>
      </w:pPr>
      <w:r>
        <w:rPr>
          <w:b/>
          <w:bCs/>
        </w:rPr>
        <w:t xml:space="preserve">7.1 Pantalla principal — Operaciones en vivo</w:t>
      </w:r>
    </w:p>
    <w:p>
      <w:pPr>
        <w:pStyle w:val="Compact"/>
        <w:numPr>
          <w:ilvl w:val="0"/>
          <w:numId w:val="1005"/>
        </w:numPr>
      </w:pPr>
      <w:r>
        <w:t xml:space="preserve">Llamadas activas de IA: tarjetas para cada llamada en curso con nombre del cliente, duración, intención, indicador de sentimiento (verde/amarillo/rojo)</w:t>
      </w:r>
    </w:p>
    <w:p>
      <w:pPr>
        <w:pStyle w:val="Compact"/>
        <w:numPr>
          <w:ilvl w:val="0"/>
          <w:numId w:val="1005"/>
        </w:numPr>
      </w:pPr>
      <w:r>
        <w:t xml:space="preserve">Cola de escalación: llamadas que necesitan intervención humana, priorizadas por urgencia</w:t>
      </w:r>
    </w:p>
    <w:p>
      <w:pPr>
        <w:pStyle w:val="Compact"/>
        <w:numPr>
          <w:ilvl w:val="0"/>
          <w:numId w:val="1005"/>
        </w:numPr>
      </w:pPr>
      <w:r>
        <w:t xml:space="preserve">Barra de KPI superior: llamadas hoy, tasa de resolución IA, tasa de escalación, duración promedio de llamada, ahorro de costos hoy en EUR</w:t>
      </w:r>
    </w:p>
    <w:p>
      <w:pPr>
        <w:pStyle w:val="Compact"/>
        <w:numPr>
          <w:ilvl w:val="0"/>
          <w:numId w:val="1005"/>
        </w:numPr>
      </w:pPr>
      <w:r>
        <w:t xml:space="preserve">Flujo de transcripción en vivo: texto desplazable de las conversaciones en curso (anónimo con un clic)</w:t>
      </w:r>
    </w:p>
    <w:p>
      <w:pPr>
        <w:pStyle w:val="Compact"/>
        <w:numPr>
          <w:ilvl w:val="0"/>
          <w:numId w:val="1005"/>
        </w:numPr>
      </w:pPr>
      <w:r>
        <w:t xml:space="preserve">Mapa térmico de sentimiento: muestra la distribución geográfica/temporal de los sentimientos de los clientes</w:t>
      </w:r>
    </w:p>
    <w:bookmarkEnd w:id="32"/>
    <w:bookmarkStart w:id="33" w:name="panel-de-asistencia-al-agente"/>
    <w:p>
      <w:pPr>
        <w:pStyle w:val="Heading2"/>
      </w:pPr>
      <w:r>
        <w:rPr>
          <w:b/>
          <w:bCs/>
        </w:rPr>
        <w:t xml:space="preserve">7.2 Panel de asistencia al agente</w:t>
      </w:r>
    </w:p>
    <w:p>
      <w:pPr>
        <w:pStyle w:val="Compact"/>
        <w:numPr>
          <w:ilvl w:val="0"/>
          <w:numId w:val="1006"/>
        </w:numPr>
      </w:pPr>
      <w:r>
        <w:t xml:space="preserve">Para cada agente humano, un panel con: llamada actual, transcripción, recomendaciones del LLM en tiempo real, perfil del cliente desde CRM</w:t>
      </w:r>
    </w:p>
    <w:p>
      <w:pPr>
        <w:pStyle w:val="Compact"/>
        <w:numPr>
          <w:ilvl w:val="0"/>
          <w:numId w:val="1006"/>
        </w:numPr>
      </w:pPr>
      <w:r>
        <w:t xml:space="preserve">Botón 'Tomar IA': el humano puede volver a activar la IA inmediatamente (transferencia inversa)</w:t>
      </w:r>
    </w:p>
    <w:p>
      <w:pPr>
        <w:pStyle w:val="Compact"/>
        <w:numPr>
          <w:ilvl w:val="0"/>
          <w:numId w:val="1006"/>
        </w:numPr>
      </w:pPr>
      <w:r>
        <w:t xml:space="preserve">Botón de notas: el agente dicta nota post-llamada, la IA transcribe y registra</w:t>
      </w:r>
    </w:p>
    <w:bookmarkEnd w:id="33"/>
    <w:bookmarkStart w:id="34" w:name="análisis-y-qa"/>
    <w:p>
      <w:pPr>
        <w:pStyle w:val="Heading2"/>
      </w:pPr>
      <w:r>
        <w:rPr>
          <w:b/>
          <w:bCs/>
        </w:rPr>
        <w:t xml:space="preserve">7.3 Análisis y QA</w:t>
      </w:r>
    </w:p>
    <w:p>
      <w:pPr>
        <w:pStyle w:val="Compact"/>
        <w:numPr>
          <w:ilvl w:val="0"/>
          <w:numId w:val="1007"/>
        </w:numPr>
      </w:pPr>
      <w:r>
        <w:t xml:space="preserve">Todas las llamadas de los últimos 30 días son buscables, filtrables, audibles</w:t>
      </w:r>
    </w:p>
    <w:p>
      <w:pPr>
        <w:pStyle w:val="Compact"/>
        <w:numPr>
          <w:ilvl w:val="0"/>
          <w:numId w:val="1007"/>
        </w:numPr>
      </w:pPr>
      <w:r>
        <w:t xml:space="preserve">Puntuación QA por llamada, tendencia en el tiempo, comparación IA vs. humano</w:t>
      </w:r>
    </w:p>
    <w:p>
      <w:pPr>
        <w:pStyle w:val="Compact"/>
        <w:numPr>
          <w:ilvl w:val="0"/>
          <w:numId w:val="1007"/>
        </w:numPr>
      </w:pPr>
      <w:r>
        <w:t xml:space="preserve">Recomendaciones de capacitación generadas automáticamente basadas en patrones de error frecuentes</w:t>
      </w:r>
    </w:p>
    <w:p>
      <w:pPr>
        <w:pStyle w:val="Compact"/>
        <w:numPr>
          <w:ilvl w:val="0"/>
          <w:numId w:val="1007"/>
        </w:numPr>
      </w:pPr>
      <w:r>
        <w:t xml:space="preserve">Función de exportación: informe PDF, CSV para sistemas externos</w:t>
      </w:r>
    </w:p>
    <w:bookmarkEnd w:id="34"/>
    <w:bookmarkEnd w:id="35"/>
    <w:bookmarkStart w:id="41" w:name="X329300460989b4369b5571c2b5daa189328b604"/>
    <w:p>
      <w:pPr>
        <w:pStyle w:val="Heading1"/>
      </w:pPr>
      <w:r>
        <w:rPr>
          <w:b/>
          <w:bCs/>
        </w:rPr>
        <w:t xml:space="preserve">8. Estrategia de despliegue — de 0 a 90% en 90 días</w:t>
      </w:r>
    </w:p>
    <w:bookmarkStart w:id="36" w:name="fase-0-día-1-a-3-configurar-servidor"/>
    <w:p>
      <w:pPr>
        <w:pStyle w:val="Heading2"/>
      </w:pPr>
      <w:r>
        <w:rPr>
          <w:b/>
          <w:bCs/>
        </w:rPr>
        <w:t xml:space="preserve">Fase 0 — Día 1 a 3: configurar servidor</w:t>
      </w:r>
    </w:p>
    <w:p>
      <w:pPr>
        <w:pStyle w:val="FirstParagraph"/>
      </w:pPr>
      <w:r>
        <w:t xml:space="preserve">El agente de codificación instala todo el sistema automáticamente mediante playbook Ansible (generado como hito M1.1). Al final del día 3, ViciDial es accesible, LiveKit está funcionando, todos los servicios están activos.</w:t>
      </w:r>
    </w:p>
    <w:bookmarkEnd w:id="36"/>
    <w:bookmarkStart w:id="37" w:name="fase-1-semana-12-modo-sombra"/>
    <w:p>
      <w:pPr>
        <w:pStyle w:val="Heading2"/>
      </w:pPr>
      <w:r>
        <w:rPr>
          <w:b/>
          <w:bCs/>
        </w:rPr>
        <w:t xml:space="preserve">Fase 1 — Semana 1–2: modo sombra</w:t>
      </w:r>
    </w:p>
    <w:p>
      <w:pPr>
        <w:pStyle w:val="FirstParagraph"/>
      </w:pPr>
      <w:r>
        <w:t xml:space="preserve">La IA escucha todas las llamadas humanas, transcribe, analiza — pero no interviene. Sin riesgo. Se recopilan datos, el modelo de intención se calibra con datos reales de centro de llamadas.</w:t>
      </w:r>
    </w:p>
    <w:bookmarkEnd w:id="37"/>
    <w:bookmarkStart w:id="38" w:name="fase-2-semana-34-10-de-las-llamadas"/>
    <w:p>
      <w:pPr>
        <w:pStyle w:val="Heading2"/>
      </w:pPr>
      <w:r>
        <w:rPr>
          <w:b/>
          <w:bCs/>
        </w:rPr>
        <w:t xml:space="preserve">Fase 2 — Semana 3–4: 10% de las llamadas</w:t>
      </w:r>
    </w:p>
    <w:p>
      <w:pPr>
        <w:pStyle w:val="FirstParagraph"/>
      </w:pPr>
      <w:r>
        <w:t xml:space="preserve">La IA asume completamente el 10% más sencillo de las llamadas entrantes. Los resultados se comparan con el procesamiento humano. Las correcciones se integran en el prompt del sistema.</w:t>
      </w:r>
    </w:p>
    <w:bookmarkEnd w:id="38"/>
    <w:bookmarkStart w:id="39" w:name="fase-3-semana-58-50-de-las-llamadas"/>
    <w:p>
      <w:pPr>
        <w:pStyle w:val="Heading2"/>
      </w:pPr>
      <w:r>
        <w:rPr>
          <w:b/>
          <w:bCs/>
        </w:rPr>
        <w:t xml:space="preserve">Fase 3 — Semana 5–8: 50% de las llamadas</w:t>
      </w:r>
    </w:p>
    <w:p>
      <w:pPr>
        <w:pStyle w:val="FirstParagraph"/>
      </w:pPr>
      <w:r>
        <w:t xml:space="preserve">Tras calibración exitosa, la IA asume la mitad de todas las llamadas. Los agentes humanos se concentran en escalaciones y casos complejos.</w:t>
      </w:r>
    </w:p>
    <w:bookmarkEnd w:id="39"/>
    <w:bookmarkStart w:id="40" w:name="fase-4-semana-912-90-de-las-llamadas"/>
    <w:p>
      <w:pPr>
        <w:pStyle w:val="Heading2"/>
      </w:pPr>
      <w:r>
        <w:rPr>
          <w:b/>
          <w:bCs/>
        </w:rPr>
        <w:t xml:space="preserve">Fase 4 — Semana 9–12: 90% de las llamadas</w:t>
      </w:r>
    </w:p>
    <w:p>
      <w:pPr>
        <w:pStyle w:val="FirstParagraph"/>
      </w:pPr>
      <w:r>
        <w:t xml:space="preserve">Operación completa. La IA procesa el 90% de forma autónoma. El 10% de agentes humanos son un equipo especializado de escalación. La IA supervisor coordina todo automáticamente.</w:t>
      </w:r>
    </w:p>
    <w:tbl>
      <w:tblPr>
        <w:tblStyle w:val="Table"/>
        <w:tblW w:type="pct" w:w="5000"/>
        <w:jc w:val="left"/>
        <w:tblLayout w:type="fixed"/>
        <w:tblLook w:firstRow="0" w:lastRow="0" w:firstColumn="0" w:lastColumn="0" w:noHBand="0" w:noVBand="0" w:val="0000"/>
      </w:tblPr>
      <w:tblGrid>
        <w:gridCol w:w="7920"/>
      </w:tblGrid>
      <w:tr>
        <w:tc>
          <w:tcPr/>
          <w:p>
            <w:pPr>
              <w:jc w:val="left"/>
            </w:pPr>
            <w:r>
              <w:rPr>
                <w:b/>
                <w:bCs/>
              </w:rPr>
              <w:t xml:space="preserve">Nota sobre la planificación: por qué “90% en 90 días” es un objetivo ambicioso</w:t>
            </w:r>
          </w:p>
          <w:p>
            <w:pPr>
              <w:jc w:val="left"/>
            </w:pPr>
            <w:r>
              <w:t xml:space="preserve">El 90% de automatización por IA en 90 días es muy optimista — esto debe decirse claramente. En la práctica, ningún centro de llamadas productivo se transformará tan drásticamente en un solo sprint. Pero lo que hoy ya se conoce completamente es: el camino hacia allí y el objetivo mismo. Cada fase, cada tecnología, cada punto de integración ha sido probado y documentado. El número de 90 días describe lo técnicamente posible bajo condiciones ideales — no lo operativamente garantizado. Los despliegues reales se ralentizan por procesos organizativos, calidad de datos, gestión de aceptación y ciclos IT regulares. Esto no cambia la dirección: esta transformación llegará. La plantilla existe. El objetivo está definido.</w:t>
            </w:r>
          </w:p>
        </w:tc>
      </w:tr>
    </w:tbl>
    <w:bookmarkEnd w:id="40"/>
    <w:bookmarkEnd w:id="41"/>
    <w:bookmarkStart w:id="44" w:name="X7aab78758182dc705b77e5cb47634ba18058836"/>
    <w:p>
      <w:pPr>
        <w:pStyle w:val="Heading1"/>
      </w:pPr>
      <w:r>
        <w:rPr>
          <w:b/>
          <w:bCs/>
        </w:rPr>
        <w:t xml:space="preserve">9. El modelo global — un sistema para cada centro de llamadas del mundo</w:t>
      </w:r>
    </w:p>
    <w:p>
      <w:pPr>
        <w:pStyle w:val="FirstParagraph"/>
      </w:pPr>
      <w:r>
        <w:t xml:space="preserve">Este sistema no es un proyecto individual. Es una plantilla replicable.</w:t>
      </w:r>
    </w:p>
    <w:p>
      <w:pPr>
        <w:pStyle w:val="BodyText"/>
      </w:pPr>
      <w:r>
        <w:t xml:space="preserve">Cada centro de llamadas del mundo lucha con los mismos problemas: altos costos laborales, inconsistencia de calidad, rotación, escalabilidad. Este sistema resuelve los cuatro simultáneamente.</w:t>
      </w:r>
    </w:p>
    <w:bookmarkStart w:id="42" w:name="el-modelo-de-implementación"/>
    <w:p>
      <w:pPr>
        <w:pStyle w:val="Heading2"/>
      </w:pPr>
      <w:r>
        <w:rPr>
          <w:b/>
          <w:bCs/>
        </w:rPr>
        <w:t xml:space="preserve">El modelo de implementación</w:t>
      </w:r>
    </w:p>
    <w:p>
      <w:pPr>
        <w:pStyle w:val="Compact"/>
        <w:numPr>
          <w:ilvl w:val="0"/>
          <w:numId w:val="1008"/>
        </w:numPr>
      </w:pPr>
      <w:r>
        <w:t xml:space="preserve">On-Premise: Un servidor por ubicación. Todos los datos permanecen en la empresa. Cumple con el RGPD por diseño.</w:t>
      </w:r>
    </w:p>
    <w:p>
      <w:pPr>
        <w:pStyle w:val="Compact"/>
        <w:numPr>
          <w:ilvl w:val="0"/>
          <w:numId w:val="1008"/>
        </w:numPr>
      </w:pPr>
      <w:r>
        <w:t xml:space="preserve">Híbrido: STT + TTS local, LLM en la nube para carga pico. Estructura de costos flexible.</w:t>
      </w:r>
    </w:p>
    <w:p>
      <w:pPr>
        <w:pStyle w:val="Compact"/>
        <w:numPr>
          <w:ilvl w:val="0"/>
          <w:numId w:val="1008"/>
        </w:numPr>
      </w:pPr>
      <w:r>
        <w:t xml:space="preserve">SaaS: Sistema completo como servicio gestionado para centros de llamadas pequeños sin TI propia.</w:t>
      </w:r>
    </w:p>
    <w:bookmarkEnd w:id="42"/>
    <w:bookmarkStart w:id="43" w:name="por-qué-vicidial-como-base"/>
    <w:p>
      <w:pPr>
        <w:pStyle w:val="Heading2"/>
      </w:pPr>
      <w:r>
        <w:rPr>
          <w:b/>
          <w:bCs/>
        </w:rPr>
        <w:t xml:space="preserve">Por qué ViciDial como base</w:t>
      </w:r>
    </w:p>
    <w:p>
      <w:pPr>
        <w:pStyle w:val="Compact"/>
        <w:numPr>
          <w:ilvl w:val="0"/>
          <w:numId w:val="1009"/>
        </w:numPr>
      </w:pPr>
      <w:r>
        <w:t xml:space="preserve">Más de 15.000 instalaciones activas en todo el mundo. La plantilla funciona inmediatamente para todos.</w:t>
      </w:r>
    </w:p>
    <w:p>
      <w:pPr>
        <w:pStyle w:val="Compact"/>
        <w:numPr>
          <w:ilvl w:val="0"/>
          <w:numId w:val="1009"/>
        </w:numPr>
      </w:pPr>
      <w:r>
        <w:t xml:space="preserve">Código abierto: sin problemas de licencia, sin bloqueo de proveedor, total personalización.</w:t>
      </w:r>
    </w:p>
    <w:p>
      <w:pPr>
        <w:pStyle w:val="Compact"/>
        <w:numPr>
          <w:ilvl w:val="0"/>
          <w:numId w:val="1009"/>
        </w:numPr>
      </w:pPr>
      <w:r>
        <w:t xml:space="preserve">API probada: interfaz AGI, API REST, AMI — todos los puntos de acceso para integración de IA están disponibles.</w:t>
      </w:r>
    </w:p>
    <w:p>
      <w:pPr>
        <w:pStyle w:val="Compact"/>
        <w:numPr>
          <w:ilvl w:val="0"/>
          <w:numId w:val="1009"/>
        </w:numPr>
      </w:pPr>
      <w:r>
        <w:t xml:space="preserve">Comunidad: los errores se reportan y corrigen a nivel mundial. El sistema mejora sin esfuerzo propio.</w:t>
      </w:r>
    </w:p>
    <w:bookmarkEnd w:id="43"/>
    <w:bookmarkEnd w:id="44"/>
    <w:bookmarkStart w:id="45" w:name="Xe2f896a4eeda821e40601208c6ed9a2a256e466"/>
    <w:p>
      <w:pPr>
        <w:pStyle w:val="Heading1"/>
      </w:pPr>
      <w:r>
        <w:rPr>
          <w:b/>
          <w:bCs/>
        </w:rPr>
        <w:t xml:space="preserve">10. Lo que viene después — perspectiva de 2 años</w:t>
      </w:r>
    </w:p>
    <w:p>
      <w:pPr>
        <w:pStyle w:val="FirstParagraph"/>
      </w:pPr>
      <w:r>
        <w:t xml:space="preserve">Tras el sprint de 3 meses, el sistema está listo para producción. Lo que sigue son mejoras iterativas que el agente de codificación implementa continuamente:</w:t>
      </w:r>
    </w:p>
    <w:p>
      <w:pPr>
        <w:pStyle w:val="Compact"/>
        <w:numPr>
          <w:ilvl w:val="0"/>
          <w:numId w:val="1010"/>
        </w:numPr>
      </w:pPr>
      <w:r>
        <w:t xml:space="preserve">Meses 4–6: Calibración multilingüe de personajes. La IA ajusta automáticamente el tono, velocidad de habla y formalidad según el perfil del llamante.</w:t>
      </w:r>
    </w:p>
    <w:p>
      <w:pPr>
        <w:pStyle w:val="Compact"/>
        <w:numPr>
          <w:ilvl w:val="0"/>
          <w:numId w:val="1010"/>
        </w:numPr>
      </w:pPr>
      <w:r>
        <w:t xml:space="preserve">Meses 6–9: Contacto predictivo. La IA identifica riesgo de abandono a partir de datos del CRM y llama proactivamente antes de que los clientes cancelen.</w:t>
      </w:r>
    </w:p>
    <w:p>
      <w:pPr>
        <w:pStyle w:val="Compact"/>
        <w:numPr>
          <w:ilvl w:val="0"/>
          <w:numId w:val="1010"/>
        </w:numPr>
      </w:pPr>
      <w:r>
        <w:t xml:space="preserve">Meses 9–12: Bucle de autoaprendizaje. Pruebas A/B sobre estrategias de conversación. La IA optimiza sus propios prompts basándose en tasas de conversión y satisfacción del cliente.</w:t>
      </w:r>
    </w:p>
    <w:p>
      <w:pPr>
        <w:pStyle w:val="Compact"/>
        <w:numPr>
          <w:ilvl w:val="0"/>
          <w:numId w:val="1010"/>
        </w:numPr>
      </w:pPr>
      <w:r>
        <w:t xml:space="preserve">Año 2: Soporte por video mediante LiveKit. La IA muestra instrucciones visuales a los clientes mientras habla. El contacto multimodal se vuelve estándar.</w:t>
      </w:r>
    </w:p>
    <w:bookmarkEnd w:id="45"/>
    <w:bookmarkStart w:id="46" w:name="resumen-para-el-agente-de-codificación"/>
    <w:p>
      <w:pPr>
        <w:pStyle w:val="Heading1"/>
      </w:pPr>
      <w:r>
        <w:rPr>
          <w:b/>
          <w:bCs/>
        </w:rPr>
        <w:t xml:space="preserve">11. Resumen para el agente de codificación</w:t>
      </w:r>
    </w:p>
    <w:p>
      <w:pPr>
        <w:pStyle w:val="FirstParagraph"/>
      </w:pPr>
      <w:r>
        <w:t xml:space="preserve">Tú eres el arquitecto. Esta especificación es tu encargo completo. Aquí están tus principios directrices:</w:t>
      </w:r>
    </w:p>
    <w:p>
      <w:pPr>
        <w:pStyle w:val="Compact"/>
        <w:numPr>
          <w:ilvl w:val="0"/>
          <w:numId w:val="1011"/>
        </w:numPr>
      </w:pPr>
      <w:r>
        <w:t xml:space="preserve">Construye de forma iterativa. Cada hito debe funcionar completamente antes de comenzar el siguiente.</w:t>
      </w:r>
    </w:p>
    <w:p>
      <w:pPr>
        <w:pStyle w:val="Compact"/>
        <w:numPr>
          <w:ilvl w:val="0"/>
          <w:numId w:val="1011"/>
        </w:numPr>
      </w:pPr>
      <w:r>
        <w:t xml:space="preserve">Prueba todo. Cada componente tiene pruebas automáticas. Ningún código sin prueba.</w:t>
      </w:r>
    </w:p>
    <w:p>
      <w:pPr>
        <w:pStyle w:val="Compact"/>
        <w:numPr>
          <w:ilvl w:val="0"/>
          <w:numId w:val="1011"/>
        </w:numPr>
      </w:pPr>
      <w:r>
        <w:t xml:space="preserve">Documenta automáticamente. Cada API, cada configuración, cada punto final se documenta en línea.</w:t>
      </w:r>
    </w:p>
    <w:p>
      <w:pPr>
        <w:pStyle w:val="Compact"/>
        <w:numPr>
          <w:ilvl w:val="0"/>
          <w:numId w:val="1011"/>
        </w:numPr>
      </w:pPr>
      <w:r>
        <w:t xml:space="preserve">Usa solo código abierto. Ninguna herramienta propietaria, ninguna suscripción en la nube, ningún costo de licencia.</w:t>
      </w:r>
    </w:p>
    <w:p>
      <w:pPr>
        <w:pStyle w:val="Compact"/>
        <w:numPr>
          <w:ilvl w:val="0"/>
          <w:numId w:val="1011"/>
        </w:numPr>
      </w:pPr>
      <w:r>
        <w:t xml:space="preserve">Optimiza para latencia. Cada componente se ajusta para minimizar el tiempo de respuesta. Objetivo: &lt;500 ms de extremo a extremo.</w:t>
      </w:r>
    </w:p>
    <w:p>
      <w:pPr>
        <w:pStyle w:val="Compact"/>
        <w:numPr>
          <w:ilvl w:val="0"/>
          <w:numId w:val="1011"/>
        </w:numPr>
      </w:pPr>
      <w:r>
        <w:t xml:space="preserve">Piensa en hitos, no en funciones. Un sistema funcional hoy vale más que un sistema perfecto en 6 meses.</w:t>
      </w:r>
    </w:p>
    <w:tbl>
      <w:tblPr>
        <w:tblStyle w:val="Table"/>
        <w:tblW w:type="pct" w:w="5000"/>
        <w:jc w:val="left"/>
        <w:tblLayout w:type="fixed"/>
        <w:tblLook w:firstRow="0" w:lastRow="0" w:firstColumn="0" w:lastColumn="0" w:noHBand="0" w:noVBand="0" w:val="0000"/>
      </w:tblPr>
      <w:tblGrid>
        <w:gridCol w:w="7920"/>
      </w:tblGrid>
      <w:tr>
        <w:tc>
          <w:tcPr/>
          <w:p>
            <w:pPr>
              <w:jc w:val="left"/>
            </w:pPr>
            <w:r>
              <w:rPr>
                <w:b/>
                <w:bCs/>
              </w:rPr>
              <w:t xml:space="preserve">El objetivo en una frase</w:t>
            </w:r>
          </w:p>
          <w:p>
            <w:pPr>
              <w:jc w:val="left"/>
            </w:pPr>
            <w:r>
              <w:t xml:space="preserve">El día 90, un solo servidor con software de código abierto y un LLM local manejará el 90 % de todas las llamadas de centros de llamadas completamente de forma autónoma — por menos de 0,4 céntimos por minuto, sin riesgo de privacidad, sin dependencia de la nube, sin errores humanos.</w:t>
            </w:r>
          </w:p>
        </w:tc>
      </w:tr>
    </w:tbl>
    <w:p>
      <w:pPr>
        <w:pStyle w:val="BodyText"/>
      </w:pPr>
      <w:r>
        <w:rPr>
          <w:b/>
          <w:bCs/>
        </w:rPr>
        <w:t xml:space="preserve">Esto no es el futuro. Es hoy.</w:t>
      </w:r>
    </w:p>
    <w:bookmarkEnd w:id="4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201">
    <w:nsid w:val="00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000">
    <w:abstractNumId w:val="990"/>
  </w:num>
  <w:num w:numId="1001">
    <w:abstractNumId w:val="991"/>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2026-04-07T00:10:47Z</dcterms:created>
  <dcterms:modified xsi:type="dcterms:W3CDTF">2026-04-07T00:10:47Z</dcterms:modified>
</cp:coreProperties>
</file>

<file path=docProps/custom.xml><?xml version="1.0" encoding="utf-8"?>
<Properties xmlns="http://schemas.openxmlformats.org/officeDocument/2006/custom-properties" xmlns:vt="http://schemas.openxmlformats.org/officeDocument/2006/docPropsVTypes"/>
</file>